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1600" w:firstLineChars="500"/>
        <w:jc w:val="left"/>
        <w:rPr>
          <w:rFonts w:hint="eastAsia"/>
          <w:bCs/>
          <w:sz w:val="24"/>
          <w:szCs w:val="24"/>
          <w:lang w:eastAsia="zh-CN"/>
        </w:rPr>
      </w:pPr>
      <w:r>
        <w:rPr>
          <w:bCs/>
          <w:sz w:val="32"/>
          <w:szCs w:val="32"/>
        </w:rPr>
        <w:t>项目名称：</w:t>
      </w:r>
      <w:r>
        <w:rPr>
          <w:rFonts w:hint="eastAsia"/>
          <w:bCs/>
          <w:sz w:val="32"/>
          <w:szCs w:val="32"/>
          <w:lang w:val="en-US" w:eastAsia="zh-CN"/>
        </w:rPr>
        <w:t>口腔局麻系统采购项目</w:t>
      </w:r>
    </w:p>
    <w:p w14:paraId="1716605F">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798F67A8">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口腔局麻系统采购项目采用竞争性谈判的方式招标采购，欢迎有符合条件的供应商前来投标。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1.项目名称：口腔局麻系统采购项目；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2.预算金额：3.5万元（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lang w:val="en-US" w:eastAsia="zh-CN"/>
        </w:rPr>
        <w:t>供应商须具有独立法人资格，持有有效期内的营业执照、税务登记证、组织机构代码证（三证合一只需提供营业执照）</w:t>
      </w:r>
      <w:r>
        <w:rPr>
          <w:rFonts w:hint="eastAsia" w:ascii="宋体" w:hAnsi="宋体" w:eastAsia="宋体" w:cs="宋体"/>
          <w:kern w:val="2"/>
          <w:sz w:val="28"/>
          <w:szCs w:val="28"/>
          <w:lang w:val="en-US" w:eastAsia="zh-CN" w:bidi="ar-SA"/>
        </w:rPr>
        <w:t>；</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FA4ED7D">
      <w:pPr>
        <w:spacing w:line="360" w:lineRule="auto"/>
        <w:ind w:firstLine="562" w:firstLineChars="200"/>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供应商特定资格要求：</w:t>
      </w:r>
      <w:r>
        <w:rPr>
          <w:rFonts w:hint="eastAsia" w:ascii="宋体" w:hAnsi="宋体" w:eastAsia="宋体" w:cs="宋体"/>
          <w:kern w:val="2"/>
          <w:sz w:val="28"/>
          <w:szCs w:val="28"/>
          <w:lang w:val="en-US" w:eastAsia="zh-CN" w:bidi="ar-SA"/>
        </w:rPr>
        <w:t>（1）投标供应商如为所投设备医疗器械制造商或代理商，投标人须具备相应的《医疗器械生产许可证》或《医疗器械经营许可证》或《医疗器械经营备案凭证》，国家另有规定的从其规定；（2）供应商所投设备不应为试制品，供应商所投设备属国家医疗器械管理的，一类医疗器械须提供《医疗器械生产备案凭证》，二类及以上医疗器械须提供《医疗器械注册证》，国家另有规定的从其规定；（3）投标供应商是代理经销商的，须取得生产厂家的经销授权证明。</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  月  日-2024年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  月  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  月  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30503"/>
      <w:bookmarkStart w:id="4" w:name="_Toc470172666"/>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470172685"/>
      <w:bookmarkStart w:id="12" w:name="_Toc2730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31376"/>
      <w:bookmarkStart w:id="17" w:name="_Toc470172687"/>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22624"/>
      <w:bookmarkStart w:id="20" w:name="_Toc470172690"/>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40B2C1DD">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tbl>
      <w:tblPr>
        <w:tblStyle w:val="15"/>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14:paraId="5ADC2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14:paraId="6CD7730C">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2"/>
                <w:szCs w:val="22"/>
              </w:rPr>
            </w:pPr>
            <w:r>
              <w:rPr>
                <w:rFonts w:hint="eastAsia" w:ascii="宋体" w:hAnsi="宋体" w:eastAsia="宋体" w:cs="宋体"/>
                <w:b/>
                <w:bCs/>
                <w:sz w:val="22"/>
                <w:szCs w:val="22"/>
              </w:rPr>
              <w:t>项目名称</w:t>
            </w:r>
          </w:p>
        </w:tc>
        <w:tc>
          <w:tcPr>
            <w:tcW w:w="7660" w:type="dxa"/>
            <w:gridSpan w:val="4"/>
            <w:vAlign w:val="center"/>
          </w:tcPr>
          <w:p w14:paraId="63CA26E1">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2"/>
                <w:szCs w:val="22"/>
                <w:lang w:val="en-US" w:eastAsia="zh-CN"/>
              </w:rPr>
            </w:pPr>
            <w:r>
              <w:rPr>
                <w:rFonts w:hint="eastAsia" w:ascii="宋体" w:hAnsi="宋体" w:eastAsia="宋体" w:cs="宋体"/>
                <w:snapToGrid w:val="0"/>
                <w:color w:val="000000"/>
                <w:kern w:val="0"/>
                <w:sz w:val="22"/>
                <w:szCs w:val="22"/>
                <w:lang w:val="en-US" w:eastAsia="zh-CN"/>
              </w:rPr>
              <w:t>口腔局麻系统</w:t>
            </w:r>
            <w:bookmarkStart w:id="42" w:name="_GoBack"/>
            <w:bookmarkEnd w:id="42"/>
          </w:p>
        </w:tc>
      </w:tr>
      <w:tr w14:paraId="24F7C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14:paraId="1F69F7DD">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2"/>
                <w:szCs w:val="22"/>
              </w:rPr>
            </w:pPr>
            <w:r>
              <w:rPr>
                <w:rFonts w:hint="eastAsia" w:ascii="宋体" w:hAnsi="宋体" w:eastAsia="宋体" w:cs="宋体"/>
                <w:b/>
                <w:bCs/>
                <w:sz w:val="22"/>
                <w:szCs w:val="22"/>
              </w:rPr>
              <w:t>数量</w:t>
            </w:r>
          </w:p>
        </w:tc>
        <w:tc>
          <w:tcPr>
            <w:tcW w:w="1277" w:type="dxa"/>
            <w:tcBorders>
              <w:right w:val="single" w:color="auto" w:sz="4" w:space="0"/>
            </w:tcBorders>
            <w:vAlign w:val="center"/>
          </w:tcPr>
          <w:p w14:paraId="6BCD6A3E">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1</w:t>
            </w:r>
          </w:p>
        </w:tc>
        <w:tc>
          <w:tcPr>
            <w:tcW w:w="1888" w:type="dxa"/>
            <w:tcBorders>
              <w:left w:val="single" w:color="auto" w:sz="4" w:space="0"/>
              <w:right w:val="single" w:color="auto" w:sz="4" w:space="0"/>
            </w:tcBorders>
            <w:vAlign w:val="center"/>
          </w:tcPr>
          <w:p w14:paraId="69AF566E">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2"/>
                <w:szCs w:val="22"/>
              </w:rPr>
            </w:pPr>
            <w:r>
              <w:rPr>
                <w:rFonts w:hint="eastAsia" w:ascii="宋体" w:hAnsi="宋体" w:eastAsia="宋体" w:cs="宋体"/>
                <w:b/>
                <w:bCs/>
                <w:sz w:val="22"/>
                <w:szCs w:val="22"/>
              </w:rPr>
              <w:t>预算金额 (万元)</w:t>
            </w:r>
          </w:p>
        </w:tc>
        <w:tc>
          <w:tcPr>
            <w:tcW w:w="1786" w:type="dxa"/>
            <w:tcBorders>
              <w:left w:val="single" w:color="auto" w:sz="4" w:space="0"/>
            </w:tcBorders>
            <w:vAlign w:val="center"/>
          </w:tcPr>
          <w:p w14:paraId="3D3DB24D">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3.5 </w:t>
            </w:r>
          </w:p>
        </w:tc>
      </w:tr>
      <w:tr w14:paraId="35C84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9679" w:type="dxa"/>
            <w:gridSpan w:val="5"/>
            <w:vAlign w:val="top"/>
          </w:tcPr>
          <w:p w14:paraId="20E6E637">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2"/>
                <w:szCs w:val="22"/>
              </w:rPr>
            </w:pPr>
            <w:r>
              <w:rPr>
                <w:rFonts w:hint="eastAsia" w:ascii="宋体" w:hAnsi="宋体" w:eastAsia="宋体" w:cs="宋体"/>
                <w:b/>
                <w:bCs/>
                <w:sz w:val="22"/>
                <w:szCs w:val="22"/>
              </w:rPr>
              <w:t>项目需求 (※作论证依据，请详细注明) ：</w:t>
            </w:r>
          </w:p>
          <w:p w14:paraId="3A070B38">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eastAsia="zh-Hans"/>
              </w:rPr>
              <w:t>具有自动排气、自动回吸功能</w:t>
            </w:r>
            <w:r>
              <w:rPr>
                <w:rFonts w:hint="eastAsia" w:ascii="宋体" w:hAnsi="宋体" w:eastAsia="宋体" w:cs="宋体"/>
                <w:sz w:val="22"/>
                <w:szCs w:val="22"/>
                <w:lang w:eastAsia="zh-CN"/>
              </w:rPr>
              <w:t>。</w:t>
            </w:r>
          </w:p>
          <w:p w14:paraId="5CC2D5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1" w:firstLineChars="100"/>
              <w:textAlignment w:val="auto"/>
              <w:rPr>
                <w:rFonts w:hint="eastAsia" w:ascii="宋体" w:hAnsi="宋体" w:eastAsia="宋体" w:cs="宋体"/>
                <w:sz w:val="22"/>
                <w:szCs w:val="22"/>
                <w:lang w:eastAsia="zh-Hans"/>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2、</w:t>
            </w:r>
            <w:r>
              <w:rPr>
                <w:rFonts w:hint="eastAsia" w:ascii="宋体" w:hAnsi="宋体" w:eastAsia="宋体" w:cs="宋体"/>
                <w:sz w:val="22"/>
                <w:szCs w:val="22"/>
                <w:lang w:eastAsia="zh-Hans"/>
              </w:rPr>
              <w:t>牙周膜韧带麻醉要求有声音，视频提示-动感传感压力技术，实时反馈注射压力</w:t>
            </w:r>
            <w:r>
              <w:rPr>
                <w:rFonts w:hint="eastAsia" w:ascii="宋体" w:hAnsi="宋体" w:eastAsia="宋体" w:cs="宋体"/>
                <w:sz w:val="22"/>
                <w:szCs w:val="22"/>
                <w:lang w:eastAsia="zh-CN"/>
              </w:rPr>
              <w:t>。</w:t>
            </w:r>
          </w:p>
          <w:p w14:paraId="49B0A9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1" w:firstLineChars="100"/>
              <w:textAlignment w:val="auto"/>
              <w:rPr>
                <w:rFonts w:hint="eastAsia" w:ascii="宋体" w:hAnsi="宋体" w:eastAsia="宋体" w:cs="宋体"/>
                <w:b/>
                <w:bCs/>
                <w:sz w:val="20"/>
                <w:szCs w:val="20"/>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3、</w:t>
            </w:r>
            <w:r>
              <w:rPr>
                <w:rFonts w:hint="eastAsia" w:ascii="宋体" w:hAnsi="宋体" w:eastAsia="宋体" w:cs="宋体"/>
                <w:sz w:val="22"/>
                <w:szCs w:val="22"/>
                <w:lang w:eastAsia="zh-Hans"/>
              </w:rPr>
              <w:t>具有自动保护装置，当注射压力过大时，可自动停止注射。</w:t>
            </w:r>
          </w:p>
          <w:p w14:paraId="421C47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Hans"/>
              </w:rPr>
              <w:t>具有脚踏控制给药功能。</w:t>
            </w:r>
          </w:p>
          <w:p w14:paraId="0CCCE84B">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eastAsia="zh-Hans"/>
              </w:rPr>
              <w:t>缓速时具备自动巡航功能，可实现自动给药。</w:t>
            </w:r>
          </w:p>
          <w:p w14:paraId="5A1724A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0"/>
                <w:szCs w:val="20"/>
              </w:rPr>
            </w:pPr>
          </w:p>
        </w:tc>
      </w:tr>
      <w:tr w14:paraId="49D5C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1" w:hRule="atLeast"/>
        </w:trPr>
        <w:tc>
          <w:tcPr>
            <w:tcW w:w="9679" w:type="dxa"/>
            <w:gridSpan w:val="5"/>
            <w:vAlign w:val="top"/>
          </w:tcPr>
          <w:p w14:paraId="481DC83E">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2"/>
                <w:szCs w:val="22"/>
              </w:rPr>
            </w:pPr>
            <w:r>
              <w:rPr>
                <w:rFonts w:hint="eastAsia" w:ascii="宋体" w:hAnsi="宋体" w:eastAsia="宋体" w:cs="宋体"/>
                <w:b/>
                <w:bCs/>
                <w:sz w:val="22"/>
                <w:szCs w:val="22"/>
              </w:rPr>
              <w:t>技术参数 (※作论证依据，请详细注明) ：</w:t>
            </w:r>
          </w:p>
          <w:p w14:paraId="4622DE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Hans"/>
              </w:rPr>
              <w:t>采用三种给药模式和速度：</w:t>
            </w:r>
          </w:p>
          <w:p w14:paraId="5E5E95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firstLineChars="3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Hans"/>
              </w:rPr>
              <w:t>STA模式：</w:t>
            </w:r>
            <w:r>
              <w:rPr>
                <w:rFonts w:hint="eastAsia" w:ascii="宋体" w:hAnsi="宋体" w:eastAsia="宋体" w:cs="宋体"/>
                <w:sz w:val="22"/>
                <w:szCs w:val="22"/>
                <w:lang w:eastAsia="zh-CN"/>
              </w:rPr>
              <w:t>（</w:t>
            </w:r>
            <w:r>
              <w:rPr>
                <w:rFonts w:hint="eastAsia" w:ascii="宋体" w:hAnsi="宋体" w:eastAsia="宋体" w:cs="宋体"/>
                <w:sz w:val="22"/>
                <w:szCs w:val="22"/>
                <w:lang w:eastAsia="zh-Hans"/>
              </w:rPr>
              <w:t>一种速度）缓速：0。3ml/min</w:t>
            </w:r>
            <w:r>
              <w:rPr>
                <w:rFonts w:hint="eastAsia" w:ascii="宋体" w:hAnsi="宋体" w:eastAsia="宋体" w:cs="宋体"/>
                <w:sz w:val="22"/>
                <w:szCs w:val="22"/>
                <w:lang w:eastAsia="zh-CN"/>
              </w:rPr>
              <w:t>。</w:t>
            </w:r>
          </w:p>
          <w:p w14:paraId="65B9FBCE">
            <w:pPr>
              <w:keepNext w:val="0"/>
              <w:keepLines w:val="0"/>
              <w:pageBreakBefore w:val="0"/>
              <w:widowControl w:val="0"/>
              <w:kinsoku/>
              <w:wordWrap/>
              <w:overflowPunct/>
              <w:topLinePunct w:val="0"/>
              <w:autoSpaceDE/>
              <w:autoSpaceDN/>
              <w:bidi w:val="0"/>
              <w:adjustRightInd/>
              <w:snapToGrid/>
              <w:spacing w:line="240" w:lineRule="auto"/>
              <w:ind w:firstLine="660" w:firstLineChars="3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Hans"/>
              </w:rPr>
              <w:t>正常模式：</w:t>
            </w:r>
            <w:r>
              <w:rPr>
                <w:rFonts w:hint="eastAsia" w:ascii="宋体" w:hAnsi="宋体" w:eastAsia="宋体" w:cs="宋体"/>
                <w:sz w:val="22"/>
                <w:szCs w:val="22"/>
                <w:lang w:eastAsia="zh-CN"/>
              </w:rPr>
              <w:t>（</w:t>
            </w:r>
            <w:r>
              <w:rPr>
                <w:rFonts w:hint="eastAsia" w:ascii="宋体" w:hAnsi="宋体" w:eastAsia="宋体" w:cs="宋体"/>
                <w:sz w:val="22"/>
                <w:szCs w:val="22"/>
                <w:lang w:eastAsia="zh-Hans"/>
              </w:rPr>
              <w:t>两种速度）缓速O.3ml/min，快速 1.7ml/min</w:t>
            </w:r>
            <w:r>
              <w:rPr>
                <w:rFonts w:hint="eastAsia" w:ascii="宋体" w:hAnsi="宋体" w:eastAsia="宋体" w:cs="宋体"/>
                <w:sz w:val="22"/>
                <w:szCs w:val="22"/>
                <w:lang w:eastAsia="zh-CN"/>
              </w:rPr>
              <w:t>。</w:t>
            </w:r>
          </w:p>
          <w:p w14:paraId="11EA2411">
            <w:pPr>
              <w:keepNext w:val="0"/>
              <w:keepLines w:val="0"/>
              <w:pageBreakBefore w:val="0"/>
              <w:widowControl w:val="0"/>
              <w:kinsoku/>
              <w:wordWrap/>
              <w:overflowPunct/>
              <w:topLinePunct w:val="0"/>
              <w:autoSpaceDE/>
              <w:autoSpaceDN/>
              <w:bidi w:val="0"/>
              <w:adjustRightInd/>
              <w:snapToGrid/>
              <w:spacing w:line="240" w:lineRule="auto"/>
              <w:ind w:firstLine="660" w:firstLineChars="3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Hans"/>
              </w:rPr>
              <w:t>涡轮模式：（三种速度）缓速O.3ml/min，快速 1.7ml/min，超快速 3.5ml/min</w:t>
            </w:r>
          </w:p>
          <w:p w14:paraId="30D66B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Hans"/>
              </w:rPr>
              <w:t>工作电源：220VAC, 50Hz,</w:t>
            </w:r>
          </w:p>
          <w:p w14:paraId="5CF4C4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3、配套耗材及配件：</w:t>
            </w:r>
            <w:r>
              <w:rPr>
                <w:rFonts w:hint="eastAsia" w:ascii="宋体" w:hAnsi="宋体" w:eastAsia="宋体" w:cs="宋体"/>
                <w:sz w:val="22"/>
                <w:szCs w:val="22"/>
                <w:lang w:eastAsia="zh-Hans"/>
              </w:rPr>
              <w:t xml:space="preserve">带有输气管脚闸 </w:t>
            </w:r>
            <w:r>
              <w:rPr>
                <w:rFonts w:hint="eastAsia" w:ascii="宋体" w:hAnsi="宋体" w:eastAsia="宋体" w:cs="宋体"/>
                <w:sz w:val="22"/>
                <w:szCs w:val="22"/>
                <w:lang w:val="en-US" w:eastAsia="zh-CN"/>
              </w:rPr>
              <w:t>1个、</w:t>
            </w:r>
            <w:r>
              <w:rPr>
                <w:rFonts w:hint="eastAsia" w:ascii="宋体" w:hAnsi="宋体" w:eastAsia="宋体" w:cs="宋体"/>
                <w:sz w:val="22"/>
                <w:szCs w:val="22"/>
                <w:lang w:eastAsia="zh-Hans"/>
              </w:rPr>
              <w:t>充电座</w:t>
            </w:r>
            <w:r>
              <w:rPr>
                <w:rFonts w:hint="eastAsia" w:ascii="宋体" w:hAnsi="宋体" w:eastAsia="宋体" w:cs="宋体"/>
                <w:sz w:val="22"/>
                <w:szCs w:val="22"/>
                <w:lang w:val="en-US" w:eastAsia="zh-CN"/>
              </w:rPr>
              <w:t>11个、</w:t>
            </w:r>
            <w:r>
              <w:rPr>
                <w:rFonts w:hint="eastAsia" w:ascii="宋体" w:hAnsi="宋体" w:eastAsia="宋体" w:cs="宋体"/>
                <w:sz w:val="22"/>
                <w:szCs w:val="22"/>
                <w:lang w:eastAsia="zh-Hans"/>
              </w:rPr>
              <w:t>电源适配器</w:t>
            </w:r>
            <w:r>
              <w:rPr>
                <w:rFonts w:hint="eastAsia" w:ascii="宋体" w:hAnsi="宋体" w:eastAsia="宋体" w:cs="宋体"/>
                <w:sz w:val="22"/>
                <w:szCs w:val="22"/>
                <w:lang w:val="en-US" w:eastAsia="zh-CN"/>
              </w:rPr>
              <w:t>1个、一次性口腔麻醉导管2盒/50套。</w:t>
            </w:r>
          </w:p>
          <w:p w14:paraId="29DAE7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leftChars="0" w:firstLine="400" w:firstLineChars="200"/>
              <w:rPr>
                <w:rFonts w:hint="eastAsia" w:ascii="宋体" w:hAnsi="宋体" w:eastAsia="宋体" w:cs="宋体"/>
                <w:sz w:val="20"/>
                <w:szCs w:val="20"/>
                <w:lang w:val="en-US" w:eastAsia="zh-CN"/>
              </w:rPr>
            </w:pPr>
          </w:p>
        </w:tc>
      </w:tr>
      <w:tr w14:paraId="21A65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9679" w:type="dxa"/>
            <w:gridSpan w:val="5"/>
            <w:vAlign w:val="top"/>
          </w:tcPr>
          <w:p w14:paraId="0A0872A0">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2"/>
                <w:szCs w:val="22"/>
              </w:rPr>
            </w:pPr>
            <w:r>
              <w:rPr>
                <w:rFonts w:hint="eastAsia" w:ascii="宋体" w:hAnsi="宋体" w:eastAsia="宋体" w:cs="宋体"/>
                <w:b/>
                <w:bCs/>
                <w:sz w:val="22"/>
                <w:szCs w:val="22"/>
              </w:rPr>
              <w:t>培训、售后要求：</w:t>
            </w:r>
          </w:p>
          <w:p w14:paraId="610CA9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553" w:firstLineChars="0"/>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sz w:val="22"/>
                <w:szCs w:val="22"/>
                <w:lang w:eastAsia="zh-Hans"/>
              </w:rPr>
              <w:t>售后</w:t>
            </w: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lang w:eastAsia="zh-Hans"/>
              </w:rPr>
              <w:t>年</w:t>
            </w:r>
            <w:r>
              <w:rPr>
                <w:rFonts w:ascii="宋体" w:hAnsi="宋体" w:cs="宋体"/>
                <w:sz w:val="22"/>
                <w:szCs w:val="22"/>
                <w:lang w:eastAsia="zh-Hans"/>
              </w:rPr>
              <w:t>，</w:t>
            </w:r>
            <w:r>
              <w:rPr>
                <w:rFonts w:hint="eastAsia" w:ascii="宋体" w:hAnsi="宋体" w:cs="宋体"/>
                <w:sz w:val="22"/>
                <w:szCs w:val="22"/>
                <w:lang w:eastAsia="zh-Hans"/>
              </w:rPr>
              <w:t>整机保修三年</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提供现场培训操作不少于2个学时，如遇故障2小时响应，24小时到达现场维修。</w:t>
            </w:r>
          </w:p>
        </w:tc>
      </w:tr>
    </w:tbl>
    <w:p w14:paraId="50981F83">
      <w:pPr>
        <w:rPr>
          <w:rFonts w:hint="eastAsia" w:eastAsiaTheme="minorEastAsia"/>
          <w:lang w:eastAsia="zh-CN"/>
        </w:rPr>
      </w:pPr>
    </w:p>
    <w:p w14:paraId="2C443B92">
      <w:pPr>
        <w:jc w:val="center"/>
        <w:rPr>
          <w:rFonts w:hint="eastAsia"/>
          <w:b/>
          <w:bCs/>
          <w:sz w:val="36"/>
          <w:szCs w:val="36"/>
          <w:lang w:val="en-US" w:eastAsia="zh-CN"/>
        </w:rPr>
      </w:pPr>
    </w:p>
    <w:p w14:paraId="4845548C">
      <w:pPr>
        <w:jc w:val="both"/>
        <w:rPr>
          <w:rFonts w:hint="eastAsia"/>
          <w:b/>
          <w:bCs/>
          <w:sz w:val="36"/>
          <w:szCs w:val="36"/>
          <w:lang w:val="en-US" w:eastAsia="zh-CN"/>
        </w:rPr>
      </w:pPr>
    </w:p>
    <w:p w14:paraId="43C9BB6B">
      <w:pPr>
        <w:jc w:val="both"/>
        <w:rPr>
          <w:rFonts w:hint="eastAsia"/>
          <w:b/>
          <w:bCs/>
          <w:sz w:val="36"/>
          <w:szCs w:val="36"/>
          <w:lang w:val="en-US" w:eastAsia="zh-CN"/>
        </w:rPr>
      </w:pPr>
    </w:p>
    <w:p w14:paraId="08355AE6">
      <w:pPr>
        <w:jc w:val="both"/>
        <w:rPr>
          <w:rFonts w:hint="eastAsia"/>
          <w:b/>
          <w:bCs/>
          <w:sz w:val="36"/>
          <w:szCs w:val="36"/>
          <w:lang w:val="en-US" w:eastAsia="zh-CN"/>
        </w:rPr>
      </w:pPr>
    </w:p>
    <w:p w14:paraId="1E453D63">
      <w:pPr>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p>
    <w:p w14:paraId="0A03A02C">
      <w:pPr>
        <w:pStyle w:val="2"/>
        <w:spacing w:before="120" w:after="120"/>
        <w:rPr>
          <w:rFonts w:ascii="宋体" w:hAnsi="宋体"/>
          <w:color w:val="000000"/>
          <w:highlight w:val="none"/>
        </w:rPr>
      </w:pPr>
      <w:bookmarkStart w:id="21" w:name="_Toc119679631"/>
      <w:bookmarkStart w:id="22" w:name="_Toc477032413"/>
      <w:bookmarkStart w:id="23" w:name="_Toc7654"/>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6"/>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6"/>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26EE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020519C8">
            <w:pPr>
              <w:widowControl/>
              <w:numPr>
                <w:ilvl w:val="0"/>
                <w:numId w:val="6"/>
              </w:numPr>
              <w:adjustRightInd w:val="0"/>
              <w:snapToGrid w:val="0"/>
              <w:rPr>
                <w:rFonts w:ascii="宋体" w:hAnsi="宋体" w:cs="宋体"/>
                <w:kern w:val="0"/>
                <w:szCs w:val="21"/>
                <w:highlight w:val="none"/>
              </w:rPr>
            </w:pPr>
          </w:p>
        </w:tc>
        <w:tc>
          <w:tcPr>
            <w:tcW w:w="1577" w:type="pct"/>
            <w:noWrap w:val="0"/>
            <w:vAlign w:val="center"/>
          </w:tcPr>
          <w:p w14:paraId="45FC650F">
            <w:pPr>
              <w:widowControl/>
              <w:adjustRightInd w:val="0"/>
              <w:snapToGrid w:val="0"/>
              <w:rPr>
                <w:rFonts w:hint="eastAsia" w:ascii="宋体" w:hAnsi="宋体" w:eastAsiaTheme="minorEastAsia"/>
                <w:szCs w:val="21"/>
                <w:highlight w:val="none"/>
                <w:lang w:val="hr-HR" w:eastAsia="zh-CN"/>
              </w:rPr>
            </w:pPr>
            <w:r>
              <w:rPr>
                <w:rFonts w:hint="eastAsia" w:ascii="宋体" w:hAnsi="宋体"/>
                <w:szCs w:val="21"/>
                <w:highlight w:val="none"/>
                <w:lang w:val="hr-HR" w:eastAsia="zh-CN"/>
              </w:rPr>
              <w:t>特定资格条件</w:t>
            </w:r>
          </w:p>
        </w:tc>
        <w:tc>
          <w:tcPr>
            <w:tcW w:w="3046" w:type="pct"/>
            <w:noWrap w:val="0"/>
            <w:vAlign w:val="center"/>
          </w:tcPr>
          <w:p w14:paraId="36294ADF">
            <w:pPr>
              <w:widowControl/>
              <w:adjustRightInd w:val="0"/>
              <w:snapToGrid w:val="0"/>
              <w:rPr>
                <w:rFonts w:hint="eastAsia" w:ascii="宋体" w:hAnsi="宋体" w:eastAsiaTheme="minorEastAsia"/>
                <w:bCs/>
                <w:szCs w:val="21"/>
                <w:highlight w:val="none"/>
                <w:lang w:eastAsia="zh-CN"/>
              </w:rPr>
            </w:pPr>
            <w:r>
              <w:rPr>
                <w:rFonts w:hint="eastAsia" w:ascii="宋体" w:hAnsi="宋体"/>
                <w:bCs/>
                <w:szCs w:val="21"/>
                <w:highlight w:val="none"/>
                <w:lang w:eastAsia="zh-CN"/>
              </w:rPr>
              <w:t>提供相关正证明材料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217C89EE">
            <w:pPr>
              <w:widowControl/>
              <w:numPr>
                <w:ilvl w:val="0"/>
                <w:numId w:val="6"/>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6"/>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7"/>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119679636"/>
      <w:bookmarkStart w:id="26" w:name="_Toc477032418"/>
      <w:bookmarkStart w:id="27" w:name="_Toc470172707"/>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8"/>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8"/>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9"/>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9"/>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9"/>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9"/>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10"/>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10"/>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10"/>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10"/>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10"/>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10"/>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10"/>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6E410639">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738BBDF2">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360120184"/>
      <w:bookmarkStart w:id="29" w:name="_Toc424832832"/>
      <w:bookmarkStart w:id="30" w:name="_Toc119679637"/>
      <w:bookmarkStart w:id="31" w:name="_Toc470172709"/>
      <w:bookmarkStart w:id="32" w:name="_Toc477032420"/>
      <w:bookmarkStart w:id="33" w:name="_Toc432149008"/>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D323F694"/>
    <w:multiLevelType w:val="singleLevel"/>
    <w:tmpl w:val="D323F694"/>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6">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9">
    <w:nsid w:val="6272A93B"/>
    <w:multiLevelType w:val="singleLevel"/>
    <w:tmpl w:val="6272A93B"/>
    <w:lvl w:ilvl="0" w:tentative="0">
      <w:start w:val="5"/>
      <w:numFmt w:val="decimal"/>
      <w:suff w:val="nothing"/>
      <w:lvlText w:val="%1、"/>
      <w:lvlJc w:val="left"/>
    </w:lvl>
  </w:abstractNum>
  <w:num w:numId="1">
    <w:abstractNumId w:val="6"/>
  </w:num>
  <w:num w:numId="2">
    <w:abstractNumId w:val="1"/>
  </w:num>
  <w:num w:numId="3">
    <w:abstractNumId w:val="4"/>
  </w:num>
  <w:num w:numId="4">
    <w:abstractNumId w:val="2"/>
  </w:num>
  <w:num w:numId="5">
    <w:abstractNumId w:val="9"/>
  </w:num>
  <w:num w:numId="6">
    <w:abstractNumId w:val="7"/>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907AF8"/>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223DD3"/>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204EE3"/>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7C052A"/>
    <w:rsid w:val="3A8D7448"/>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B021D1"/>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6505</Words>
  <Characters>6706</Characters>
  <Lines>0</Lines>
  <Paragraphs>0</Paragraphs>
  <TotalTime>1</TotalTime>
  <ScaleCrop>false</ScaleCrop>
  <LinksUpToDate>false</LinksUpToDate>
  <CharactersWithSpaces>7704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2024-10-08T06:42:25Z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