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中低频治疗仪采购项目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二一年五月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鄂东医疗集团市妇幼保健院就中低频治疗仪采购项目采用竞争性谈判的方式招标采购，欢迎有符合条件的供应商前来投标。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项目名称：中低频治疗仪采购项目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预算金额：4.8万元整（供应商报价超过预算金额的视为无效响应）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五、报名时间：2021年5月11日-2021年5月13日（上午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年5月14日下午15</w:t>
      </w:r>
      <w:bookmarkStart w:id="0" w:name="_GoBack"/>
      <w:bookmarkEnd w:id="0"/>
      <w:r>
        <w:rPr>
          <w:rFonts w:hint="eastAsia" w:ascii="宋体" w:hAnsi="宋体" w:eastAsia="宋体" w:cs="宋体"/>
          <w:sz w:val="28"/>
          <w:szCs w:val="28"/>
          <w:lang w:val="en-US" w:eastAsia="zh-CN"/>
        </w:rPr>
        <w:t>：00；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2021年5月11日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tbl>
      <w:tblPr>
        <w:tblStyle w:val="6"/>
        <w:tblpPr w:leftFromText="180" w:rightFromText="180" w:vertAnchor="text" w:horzAnchor="margin" w:tblpY="6"/>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97"/>
        <w:gridCol w:w="271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6757" w:type="dxa"/>
            <w:gridSpan w:val="3"/>
            <w:noWrap w:val="0"/>
            <w:vAlign w:val="center"/>
          </w:tcPr>
          <w:p>
            <w:pPr>
              <w:adjustRightInd w:val="0"/>
              <w:snapToGrid w:val="0"/>
              <w:ind w:left="195"/>
              <w:jc w:val="left"/>
              <w:rPr>
                <w:rFonts w:hint="eastAsia" w:ascii="宋体" w:hAnsi="宋体"/>
                <w:b/>
                <w:szCs w:val="21"/>
              </w:rPr>
            </w:pPr>
            <w:r>
              <w:rPr>
                <w:rFonts w:hint="eastAsia" w:ascii="宋体" w:hAnsi="宋体" w:eastAsia="宋体"/>
                <w:szCs w:val="21"/>
                <w:lang w:eastAsia="zh-CN"/>
              </w:rPr>
              <w:t>中低频治疗仪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37"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797"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71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24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694" w:type="dxa"/>
            <w:gridSpan w:val="4"/>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default" w:ascii="宋体" w:hAnsi="宋体"/>
                <w:szCs w:val="21"/>
                <w:lang w:val="en-US" w:eastAsia="zh-CN"/>
              </w:rPr>
            </w:pPr>
            <w:r>
              <w:rPr>
                <w:rFonts w:hint="eastAsia" w:ascii="宋体" w:hAnsi="宋体"/>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8694"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Arial" w:hAnsi="Arial" w:cs="Arial"/>
                <w:sz w:val="24"/>
              </w:rPr>
              <w:t>1、</w:t>
            </w:r>
            <w:r>
              <w:rPr>
                <w:rFonts w:hint="eastAsia" w:ascii="Arial" w:hAnsi="Arial" w:cs="Arial"/>
                <w:sz w:val="24"/>
                <w:lang w:eastAsia="zh-CN"/>
              </w:rPr>
              <w:t>显示：</w:t>
            </w:r>
            <w:r>
              <w:rPr>
                <w:rFonts w:hint="eastAsia" w:ascii="宋体" w:hAnsi="宋体" w:eastAsia="宋体" w:cs="宋体"/>
                <w:sz w:val="21"/>
                <w:szCs w:val="21"/>
              </w:rPr>
              <w:t>彩色液晶触摸屏操作系统</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2、</w:t>
            </w:r>
            <w:r>
              <w:rPr>
                <w:rFonts w:hint="eastAsia" w:ascii="宋体" w:hAnsi="宋体" w:cs="宋体"/>
                <w:sz w:val="21"/>
                <w:szCs w:val="21"/>
                <w:lang w:eastAsia="zh-CN"/>
              </w:rPr>
              <w:t>动态干扰电：</w:t>
            </w:r>
            <w:r>
              <w:rPr>
                <w:rFonts w:hint="eastAsia" w:ascii="宋体" w:hAnsi="宋体" w:eastAsia="宋体" w:cs="宋体"/>
                <w:sz w:val="21"/>
                <w:szCs w:val="21"/>
              </w:rPr>
              <w:t>两组独立控制的动态干扰电模式，四组中低频治疗模式</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3、</w:t>
            </w:r>
            <w:r>
              <w:rPr>
                <w:rFonts w:hint="eastAsia" w:ascii="宋体" w:hAnsi="宋体" w:cs="宋体"/>
                <w:sz w:val="21"/>
                <w:szCs w:val="21"/>
                <w:lang w:eastAsia="zh-CN"/>
              </w:rPr>
              <w:t>治疗模式：</w:t>
            </w:r>
            <w:r>
              <w:rPr>
                <w:rFonts w:hint="eastAsia" w:ascii="宋体" w:hAnsi="宋体" w:eastAsia="宋体" w:cs="宋体"/>
                <w:sz w:val="21"/>
                <w:szCs w:val="21"/>
              </w:rPr>
              <w:t>具</w:t>
            </w:r>
            <w:r>
              <w:rPr>
                <w:rFonts w:hint="eastAsia" w:ascii="宋体" w:hAnsi="宋体" w:eastAsia="宋体" w:cs="宋体"/>
                <w:sz w:val="21"/>
                <w:szCs w:val="21"/>
                <w:lang w:eastAsia="zh-CN"/>
              </w:rPr>
              <w:t>备</w:t>
            </w:r>
            <w:r>
              <w:rPr>
                <w:rFonts w:hint="eastAsia" w:ascii="宋体" w:hAnsi="宋体" w:eastAsia="宋体" w:cs="宋体"/>
                <w:sz w:val="21"/>
                <w:szCs w:val="21"/>
              </w:rPr>
              <w:t>全自动治疗模式、慢性疼痛治疗模式、急性疼痛</w:t>
            </w:r>
            <w:r>
              <w:rPr>
                <w:rFonts w:hint="eastAsia" w:ascii="宋体" w:hAnsi="宋体" w:cs="宋体"/>
                <w:sz w:val="21"/>
                <w:szCs w:val="21"/>
                <w:lang w:eastAsia="zh-CN"/>
              </w:rPr>
              <w:t>等</w:t>
            </w:r>
            <w:r>
              <w:rPr>
                <w:rFonts w:hint="eastAsia" w:ascii="宋体" w:hAnsi="宋体" w:eastAsia="宋体" w:cs="宋体"/>
                <w:sz w:val="21"/>
                <w:szCs w:val="21"/>
              </w:rPr>
              <w:t>治疗模式</w:t>
            </w:r>
            <w:r>
              <w:rPr>
                <w:rFonts w:hint="eastAsia" w:ascii="宋体" w:hAnsi="宋体" w:eastAsia="宋体" w:cs="宋体"/>
                <w:sz w:val="21"/>
                <w:szCs w:val="21"/>
                <w:lang w:eastAsia="zh-CN"/>
              </w:rPr>
              <w:t>；</w:t>
            </w:r>
          </w:p>
          <w:p>
            <w:pPr>
              <w:keepNext w:val="0"/>
              <w:keepLines w:val="0"/>
              <w:widowControl/>
              <w:numPr>
                <w:ilvl w:val="0"/>
                <w:numId w:val="2"/>
              </w:numPr>
              <w:suppressLineNumbers w:val="0"/>
              <w:jc w:val="left"/>
              <w:textAlignment w:val="center"/>
              <w:rPr>
                <w:rFonts w:hint="eastAsia" w:ascii="宋体" w:hAnsi="宋体" w:cs="宋体"/>
                <w:sz w:val="21"/>
                <w:szCs w:val="21"/>
                <w:lang w:eastAsia="zh-CN"/>
              </w:rPr>
            </w:pPr>
            <w:r>
              <w:rPr>
                <w:rFonts w:hint="eastAsia" w:ascii="宋体" w:hAnsi="宋体" w:cs="宋体"/>
                <w:sz w:val="21"/>
                <w:szCs w:val="21"/>
                <w:lang w:eastAsia="zh-CN"/>
              </w:rPr>
              <w:t>治疗参数设计功能：具备；</w:t>
            </w:r>
          </w:p>
          <w:p>
            <w:pPr>
              <w:keepNext w:val="0"/>
              <w:keepLines w:val="0"/>
              <w:widowControl/>
              <w:numPr>
                <w:ilvl w:val="0"/>
                <w:numId w:val="0"/>
              </w:numPr>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5、低频治疗频率范围</w:t>
            </w:r>
            <w:r>
              <w:rPr>
                <w:rFonts w:hint="eastAsia" w:ascii="宋体" w:hAnsi="宋体" w:cs="宋体"/>
                <w:sz w:val="21"/>
                <w:szCs w:val="21"/>
                <w:lang w:eastAsia="zh-CN"/>
              </w:rPr>
              <w:t>：</w:t>
            </w:r>
            <w:r>
              <w:rPr>
                <w:rFonts w:hint="eastAsia" w:ascii="宋体" w:hAnsi="宋体" w:eastAsia="宋体" w:cs="宋体"/>
                <w:sz w:val="21"/>
                <w:szCs w:val="21"/>
              </w:rPr>
              <w:t>为1-1000Hz，动态干扰电差频范围为1-1000Hz</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6、</w:t>
            </w:r>
            <w:r>
              <w:rPr>
                <w:rFonts w:hint="eastAsia" w:ascii="宋体" w:hAnsi="宋体" w:cs="宋体"/>
                <w:sz w:val="21"/>
                <w:szCs w:val="21"/>
                <w:lang w:eastAsia="zh-CN"/>
              </w:rPr>
              <w:t>小部位治疗：</w:t>
            </w:r>
            <w:r>
              <w:rPr>
                <w:rFonts w:hint="eastAsia" w:ascii="宋体" w:hAnsi="宋体" w:eastAsia="宋体" w:cs="宋体"/>
                <w:sz w:val="21"/>
                <w:szCs w:val="21"/>
              </w:rPr>
              <w:t>配大吸附碗</w:t>
            </w:r>
            <w:r>
              <w:rPr>
                <w:rFonts w:hint="eastAsia" w:ascii="宋体" w:hAnsi="宋体" w:cs="宋体"/>
                <w:sz w:val="21"/>
                <w:szCs w:val="21"/>
                <w:lang w:eastAsia="zh-CN"/>
              </w:rPr>
              <w:t>、</w:t>
            </w:r>
            <w:r>
              <w:rPr>
                <w:rFonts w:hint="eastAsia" w:ascii="宋体" w:hAnsi="宋体" w:eastAsia="宋体" w:cs="宋体"/>
                <w:sz w:val="21"/>
                <w:szCs w:val="21"/>
              </w:rPr>
              <w:t>小吸附碗，</w:t>
            </w:r>
            <w:r>
              <w:rPr>
                <w:rFonts w:hint="eastAsia" w:ascii="宋体" w:hAnsi="宋体" w:cs="宋体"/>
                <w:sz w:val="21"/>
                <w:szCs w:val="21"/>
                <w:lang w:eastAsia="zh-CN"/>
              </w:rPr>
              <w:t>满足</w:t>
            </w:r>
            <w:r>
              <w:rPr>
                <w:rFonts w:hint="eastAsia" w:ascii="宋体" w:hAnsi="宋体" w:eastAsia="宋体" w:cs="宋体"/>
                <w:sz w:val="21"/>
                <w:szCs w:val="21"/>
              </w:rPr>
              <w:t>大部位小部位的治疗需求</w:t>
            </w:r>
            <w:r>
              <w:rPr>
                <w:rFonts w:hint="eastAsia" w:ascii="宋体" w:hAnsi="宋体" w:eastAsia="宋体" w:cs="宋体"/>
                <w:sz w:val="21"/>
                <w:szCs w:val="21"/>
                <w:lang w:eastAsia="zh-CN"/>
              </w:rPr>
              <w:t>；</w:t>
            </w:r>
          </w:p>
          <w:p>
            <w:pPr>
              <w:numPr>
                <w:ilvl w:val="0"/>
                <w:numId w:val="0"/>
              </w:numPr>
              <w:rPr>
                <w:rFonts w:hint="eastAsia" w:ascii="Arial" w:hAnsi="Arial" w:cs="Arial"/>
                <w:sz w:val="22"/>
                <w:szCs w:val="22"/>
                <w:lang w:val="en-US" w:eastAsia="zh-CN"/>
              </w:rPr>
            </w:pPr>
            <w:r>
              <w:rPr>
                <w:rFonts w:hint="eastAsia" w:ascii="宋体" w:hAnsi="宋体" w:eastAsia="宋体" w:cs="宋体"/>
                <w:sz w:val="21"/>
                <w:szCs w:val="21"/>
              </w:rPr>
              <w:t>7、</w:t>
            </w:r>
            <w:r>
              <w:rPr>
                <w:rFonts w:hint="eastAsia" w:ascii="宋体" w:hAnsi="宋体" w:cs="宋体"/>
                <w:sz w:val="21"/>
                <w:szCs w:val="21"/>
                <w:lang w:eastAsia="zh-CN"/>
              </w:rPr>
              <w:t>回零保护：</w:t>
            </w:r>
            <w:r>
              <w:rPr>
                <w:rFonts w:hint="eastAsia" w:ascii="宋体" w:hAnsi="宋体" w:eastAsia="宋体" w:cs="宋体"/>
                <w:sz w:val="21"/>
                <w:szCs w:val="21"/>
              </w:rPr>
              <w:t>具</w:t>
            </w:r>
            <w:r>
              <w:rPr>
                <w:rFonts w:hint="eastAsia" w:ascii="宋体" w:hAnsi="宋体" w:eastAsia="宋体" w:cs="宋体"/>
                <w:sz w:val="21"/>
                <w:szCs w:val="21"/>
                <w:lang w:eastAsia="zh-CN"/>
              </w:rPr>
              <w:t>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4"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3年；提供现场培训；如遇故障2小时响应，24小时到达现场维修；耗材价格纳入合同。</w:t>
            </w:r>
          </w:p>
          <w:p>
            <w:pPr>
              <w:rPr>
                <w:rFonts w:hint="eastAsia" w:ascii="宋体" w:hAnsi="宋体" w:cs="宋体"/>
                <w:i w:val="0"/>
                <w:color w:val="000000"/>
                <w:kern w:val="0"/>
                <w:sz w:val="22"/>
                <w:szCs w:val="22"/>
                <w:u w:val="none"/>
                <w:lang w:val="en-US" w:eastAsia="zh-CN" w:bidi="ar"/>
              </w:rPr>
            </w:pP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328F42D"/>
    <w:multiLevelType w:val="singleLevel"/>
    <w:tmpl w:val="1328F42D"/>
    <w:lvl w:ilvl="0" w:tentative="0">
      <w:start w:val="4"/>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90A76"/>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2021-05-11T07:31:06Z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