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val="en-US" w:eastAsia="zh-CN"/>
        </w:rPr>
        <w:t>心理云平台采购项目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bookmarkStart w:id="42" w:name="_GoBack"/>
      <w:bookmarkEnd w:id="42"/>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484BAB6F">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心理云平台采购项目采用竞争性谈判的方式招标采购，欢迎有符合条件的供应商前来投标。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1.项目名称：心理云平台采购项目；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2.预算金额：2万元/年（</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四、报名时间：2024年10月8日-2024年10月11日（上午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年10月12日上午9：00；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2024年10月8日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470D575A">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tbl>
      <w:tblPr>
        <w:tblStyle w:val="9"/>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8"/>
        <w:gridCol w:w="6589"/>
      </w:tblGrid>
      <w:tr w14:paraId="05D1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8A88722">
            <w:pPr>
              <w:jc w:val="center"/>
              <w:rPr>
                <w:rFonts w:hint="eastAsia"/>
                <w:b/>
                <w:bCs/>
                <w:color w:val="auto"/>
                <w:highlight w:val="none"/>
              </w:rPr>
            </w:pPr>
            <w:r>
              <w:rPr>
                <w:rFonts w:hint="eastAsia"/>
                <w:b/>
                <w:bCs/>
                <w:color w:val="auto"/>
                <w:highlight w:val="none"/>
              </w:rPr>
              <w:t>序号</w:t>
            </w:r>
          </w:p>
        </w:tc>
        <w:tc>
          <w:tcPr>
            <w:tcW w:w="1518" w:type="dxa"/>
            <w:noWrap w:val="0"/>
            <w:vAlign w:val="center"/>
          </w:tcPr>
          <w:p w14:paraId="421877F6">
            <w:pPr>
              <w:jc w:val="center"/>
              <w:rPr>
                <w:rFonts w:hint="eastAsia"/>
                <w:b/>
                <w:bCs/>
                <w:color w:val="auto"/>
                <w:highlight w:val="none"/>
              </w:rPr>
            </w:pPr>
            <w:r>
              <w:rPr>
                <w:rFonts w:hint="eastAsia"/>
                <w:b/>
                <w:bCs/>
                <w:color w:val="auto"/>
                <w:highlight w:val="none"/>
              </w:rPr>
              <w:t>名称</w:t>
            </w:r>
          </w:p>
        </w:tc>
        <w:tc>
          <w:tcPr>
            <w:tcW w:w="6589" w:type="dxa"/>
            <w:noWrap w:val="0"/>
            <w:vAlign w:val="center"/>
          </w:tcPr>
          <w:p w14:paraId="63C47218">
            <w:pPr>
              <w:jc w:val="center"/>
              <w:rPr>
                <w:b/>
                <w:bCs/>
                <w:color w:val="auto"/>
                <w:highlight w:val="none"/>
              </w:rPr>
            </w:pPr>
            <w:r>
              <w:rPr>
                <w:rFonts w:hint="eastAsia"/>
                <w:b/>
                <w:bCs/>
                <w:color w:val="auto"/>
                <w:highlight w:val="none"/>
              </w:rPr>
              <w:t>规格及技术参数</w:t>
            </w:r>
          </w:p>
        </w:tc>
      </w:tr>
      <w:tr w14:paraId="0FA0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E628551">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18" w:type="dxa"/>
            <w:vMerge w:val="restart"/>
            <w:noWrap w:val="0"/>
            <w:vAlign w:val="center"/>
          </w:tcPr>
          <w:p w14:paraId="50BC212E">
            <w:pPr>
              <w:jc w:val="both"/>
              <w:rPr>
                <w:rFonts w:hint="eastAsia"/>
                <w:color w:val="auto"/>
                <w:highlight w:val="none"/>
              </w:rPr>
            </w:pPr>
          </w:p>
          <w:p w14:paraId="73994902">
            <w:pPr>
              <w:jc w:val="center"/>
              <w:rPr>
                <w:color w:val="auto"/>
                <w:highlight w:val="none"/>
              </w:rPr>
            </w:pPr>
            <w:r>
              <w:rPr>
                <w:rFonts w:hint="eastAsia"/>
                <w:color w:val="auto"/>
                <w:highlight w:val="none"/>
              </w:rPr>
              <w:t>用户端Web/H5</w:t>
            </w:r>
          </w:p>
        </w:tc>
        <w:tc>
          <w:tcPr>
            <w:tcW w:w="6589" w:type="dxa"/>
            <w:noWrap w:val="0"/>
            <w:vAlign w:val="center"/>
          </w:tcPr>
          <w:p w14:paraId="2535B95D">
            <w:pPr>
              <w:jc w:val="left"/>
              <w:rPr>
                <w:color w:val="auto"/>
                <w:highlight w:val="none"/>
              </w:rPr>
            </w:pPr>
            <w:r>
              <w:rPr>
                <w:rFonts w:hint="eastAsia"/>
                <w:color w:val="auto"/>
                <w:highlight w:val="none"/>
              </w:rPr>
              <w:t>在登录系统时，需要输入学校管理端设置好的账号和密码来验证身份。显示当前测评用户（学生/老师）的基础信息。</w:t>
            </w:r>
          </w:p>
        </w:tc>
      </w:tr>
      <w:tr w14:paraId="30BE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378AAF67">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18" w:type="dxa"/>
            <w:vMerge w:val="continue"/>
            <w:noWrap w:val="0"/>
            <w:vAlign w:val="center"/>
          </w:tcPr>
          <w:p w14:paraId="0EB4E957">
            <w:pPr>
              <w:jc w:val="center"/>
              <w:rPr>
                <w:color w:val="auto"/>
                <w:highlight w:val="none"/>
              </w:rPr>
            </w:pPr>
          </w:p>
        </w:tc>
        <w:tc>
          <w:tcPr>
            <w:tcW w:w="6589" w:type="dxa"/>
            <w:noWrap w:val="0"/>
            <w:vAlign w:val="center"/>
          </w:tcPr>
          <w:p w14:paraId="708C66CB">
            <w:pPr>
              <w:jc w:val="left"/>
              <w:rPr>
                <w:color w:val="auto"/>
                <w:highlight w:val="none"/>
              </w:rPr>
            </w:pPr>
            <w:r>
              <w:rPr>
                <w:rFonts w:hint="eastAsia" w:ascii="宋体" w:hAnsi="宋体" w:cs="宋体"/>
                <w:b/>
                <w:color w:val="auto"/>
                <w:szCs w:val="21"/>
                <w:highlight w:val="none"/>
              </w:rPr>
              <w:t>★</w:t>
            </w:r>
            <w:r>
              <w:rPr>
                <w:rFonts w:hint="eastAsia"/>
                <w:color w:val="auto"/>
                <w:highlight w:val="none"/>
              </w:rPr>
              <w:t>提供测评功能，包括未完成和已完成的测评列表，同时提供量表测评和报告查看等功能，用户可以方便地进行测评和了解自己的测评结果和建议。</w:t>
            </w:r>
          </w:p>
        </w:tc>
      </w:tr>
      <w:tr w14:paraId="6392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B1129A4">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18" w:type="dxa"/>
            <w:vMerge w:val="continue"/>
            <w:noWrap w:val="0"/>
            <w:vAlign w:val="center"/>
          </w:tcPr>
          <w:p w14:paraId="6997651E">
            <w:pPr>
              <w:jc w:val="center"/>
              <w:rPr>
                <w:color w:val="auto"/>
                <w:highlight w:val="none"/>
              </w:rPr>
            </w:pPr>
          </w:p>
        </w:tc>
        <w:tc>
          <w:tcPr>
            <w:tcW w:w="6589" w:type="dxa"/>
            <w:noWrap w:val="0"/>
            <w:vAlign w:val="center"/>
          </w:tcPr>
          <w:p w14:paraId="3AB19121">
            <w:pPr>
              <w:jc w:val="left"/>
              <w:rPr>
                <w:color w:val="auto"/>
                <w:highlight w:val="none"/>
              </w:rPr>
            </w:pPr>
            <w:r>
              <w:rPr>
                <w:rFonts w:hint="eastAsia" w:ascii="宋体" w:hAnsi="宋体" w:cs="宋体"/>
                <w:b/>
                <w:color w:val="auto"/>
                <w:szCs w:val="21"/>
                <w:highlight w:val="none"/>
              </w:rPr>
              <w:t>★</w:t>
            </w:r>
            <w:r>
              <w:rPr>
                <w:rFonts w:hint="eastAsia"/>
                <w:color w:val="auto"/>
                <w:highlight w:val="none"/>
              </w:rPr>
              <w:t>提供报告功能，各个报告的查看权限和文案内容需管理端进行授权。根据测评结果生成详细的个人心理报告，包括分析解释和建议。查看和保存自己的心理评估报告，随时回顾和反思。</w:t>
            </w:r>
          </w:p>
        </w:tc>
      </w:tr>
      <w:tr w14:paraId="226F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9FB3753">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18" w:type="dxa"/>
            <w:vMerge w:val="continue"/>
            <w:noWrap w:val="0"/>
            <w:vAlign w:val="center"/>
          </w:tcPr>
          <w:p w14:paraId="4FB08090">
            <w:pPr>
              <w:jc w:val="center"/>
              <w:rPr>
                <w:color w:val="auto"/>
                <w:highlight w:val="none"/>
              </w:rPr>
            </w:pPr>
          </w:p>
        </w:tc>
        <w:tc>
          <w:tcPr>
            <w:tcW w:w="6589" w:type="dxa"/>
            <w:noWrap w:val="0"/>
            <w:vAlign w:val="center"/>
          </w:tcPr>
          <w:p w14:paraId="37CD7B80">
            <w:pPr>
              <w:jc w:val="left"/>
              <w:rPr>
                <w:color w:val="auto"/>
                <w:highlight w:val="none"/>
              </w:rPr>
            </w:pPr>
            <w:r>
              <w:rPr>
                <w:color w:val="auto"/>
                <w:highlight w:val="none"/>
              </w:rPr>
              <w:t>▲</w:t>
            </w:r>
            <w:r>
              <w:rPr>
                <w:rFonts w:hint="eastAsia"/>
                <w:color w:val="auto"/>
                <w:highlight w:val="none"/>
              </w:rPr>
              <w:t>提供多种标准化的心理测评量表和测试，供自行完成，以评估其心理状态和特定心理特质。提供心理健康相关的在线课程和教育资源，帮助学习心理健康知识和应对策略。</w:t>
            </w:r>
          </w:p>
        </w:tc>
      </w:tr>
      <w:tr w14:paraId="3DBD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3C076BA3">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18" w:type="dxa"/>
            <w:vMerge w:val="continue"/>
            <w:noWrap w:val="0"/>
            <w:vAlign w:val="center"/>
          </w:tcPr>
          <w:p w14:paraId="1842C231">
            <w:pPr>
              <w:jc w:val="center"/>
              <w:rPr>
                <w:color w:val="auto"/>
                <w:highlight w:val="none"/>
              </w:rPr>
            </w:pPr>
          </w:p>
        </w:tc>
        <w:tc>
          <w:tcPr>
            <w:tcW w:w="6589" w:type="dxa"/>
            <w:noWrap w:val="0"/>
            <w:vAlign w:val="center"/>
          </w:tcPr>
          <w:p w14:paraId="7E1A71CB">
            <w:pPr>
              <w:jc w:val="left"/>
              <w:rPr>
                <w:rFonts w:hint="eastAsia"/>
                <w:b w:val="0"/>
                <w:bCs/>
                <w:color w:val="000000" w:themeColor="text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AI语音文本交互：支持AST、TTS技术，可应用于心理咨询交互并支持智能预警。</w:t>
            </w:r>
          </w:p>
        </w:tc>
      </w:tr>
      <w:tr w14:paraId="0421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9" w:type="dxa"/>
            <w:noWrap w:val="0"/>
            <w:vAlign w:val="center"/>
          </w:tcPr>
          <w:p w14:paraId="2C8F71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18" w:type="dxa"/>
            <w:vMerge w:val="continue"/>
            <w:noWrap w:val="0"/>
            <w:vAlign w:val="center"/>
          </w:tcPr>
          <w:p w14:paraId="102ACFFF">
            <w:pPr>
              <w:jc w:val="center"/>
              <w:rPr>
                <w:color w:val="auto"/>
                <w:highlight w:val="none"/>
              </w:rPr>
            </w:pPr>
          </w:p>
        </w:tc>
        <w:tc>
          <w:tcPr>
            <w:tcW w:w="6589" w:type="dxa"/>
            <w:noWrap w:val="0"/>
            <w:vAlign w:val="center"/>
          </w:tcPr>
          <w:p w14:paraId="1F14791B">
            <w:pPr>
              <w:jc w:val="left"/>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AI卡通数字人:包含语音文本交互，通过卡通人的表情和肢体动作，增强与用户的互动性，支持卡通形象切换。</w:t>
            </w:r>
          </w:p>
        </w:tc>
      </w:tr>
      <w:tr w14:paraId="041C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AA453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18" w:type="dxa"/>
            <w:vMerge w:val="continue"/>
            <w:noWrap w:val="0"/>
            <w:vAlign w:val="center"/>
          </w:tcPr>
          <w:p w14:paraId="7F381B77">
            <w:pPr>
              <w:jc w:val="center"/>
              <w:rPr>
                <w:color w:val="auto"/>
                <w:highlight w:val="none"/>
              </w:rPr>
            </w:pPr>
          </w:p>
        </w:tc>
        <w:tc>
          <w:tcPr>
            <w:tcW w:w="6589" w:type="dxa"/>
            <w:noWrap w:val="0"/>
            <w:vAlign w:val="center"/>
          </w:tcPr>
          <w:p w14:paraId="15C2C1B0">
            <w:pPr>
              <w:jc w:val="left"/>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AI数字人：包含语音文本交互，数字人支持真人实时渲染推理，支持真人1:1形象和声音复刻。</w:t>
            </w:r>
          </w:p>
        </w:tc>
      </w:tr>
      <w:tr w14:paraId="5E0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0FFCA810">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18" w:type="dxa"/>
            <w:vMerge w:val="continue"/>
            <w:noWrap w:val="0"/>
            <w:vAlign w:val="center"/>
          </w:tcPr>
          <w:p w14:paraId="52AF977D">
            <w:pPr>
              <w:jc w:val="center"/>
              <w:rPr>
                <w:color w:val="auto"/>
                <w:highlight w:val="none"/>
              </w:rPr>
            </w:pPr>
          </w:p>
        </w:tc>
        <w:tc>
          <w:tcPr>
            <w:tcW w:w="6589" w:type="dxa"/>
            <w:noWrap w:val="0"/>
            <w:vAlign w:val="center"/>
          </w:tcPr>
          <w:p w14:paraId="3A014EF9">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平台提供紧急心理危机干预和咨询服务</w:t>
            </w:r>
            <w:r>
              <w:rPr>
                <w:rFonts w:hint="eastAsia"/>
                <w:color w:val="000000" w:themeColor="text1"/>
                <w:highlight w:val="none"/>
                <w:lang w:val="en-US" w:eastAsia="zh-CN"/>
                <w14:textFill>
                  <w14:solidFill>
                    <w14:schemeClr w14:val="tx1"/>
                  </w14:solidFill>
                </w14:textFill>
              </w:rPr>
              <w:t>功能板块</w:t>
            </w:r>
            <w:r>
              <w:rPr>
                <w:rFonts w:hint="eastAsia"/>
                <w:color w:val="000000" w:themeColor="text1"/>
                <w:highlight w:val="none"/>
                <w14:textFill>
                  <w14:solidFill>
                    <w14:schemeClr w14:val="tx1"/>
                  </w14:solidFill>
                </w14:textFill>
              </w:rPr>
              <w:t>，可由使用单位填写心理咨询转介电话。</w:t>
            </w:r>
          </w:p>
        </w:tc>
      </w:tr>
      <w:tr w14:paraId="1F92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3F11EA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18" w:type="dxa"/>
            <w:vMerge w:val="continue"/>
            <w:noWrap w:val="0"/>
            <w:vAlign w:val="center"/>
          </w:tcPr>
          <w:p w14:paraId="305739CE">
            <w:pPr>
              <w:jc w:val="center"/>
              <w:rPr>
                <w:color w:val="auto"/>
                <w:highlight w:val="none"/>
              </w:rPr>
            </w:pPr>
          </w:p>
        </w:tc>
        <w:tc>
          <w:tcPr>
            <w:tcW w:w="6589" w:type="dxa"/>
            <w:noWrap w:val="0"/>
            <w:vAlign w:val="center"/>
          </w:tcPr>
          <w:p w14:paraId="5BBDB9D9">
            <w:pPr>
              <w:jc w:val="left"/>
              <w:rPr>
                <w:color w:val="auto"/>
                <w:highlight w:val="none"/>
              </w:rPr>
            </w:pPr>
            <w:r>
              <w:rPr>
                <w:rFonts w:hint="eastAsia"/>
                <w:color w:val="auto"/>
                <w:highlight w:val="none"/>
              </w:rPr>
              <w:t>查看自己过去完成的测评记录和结果，监测心理状态的变化。</w:t>
            </w:r>
          </w:p>
        </w:tc>
      </w:tr>
      <w:tr w14:paraId="0DAA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3CADAE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18" w:type="dxa"/>
            <w:vMerge w:val="restart"/>
            <w:noWrap w:val="0"/>
            <w:vAlign w:val="center"/>
          </w:tcPr>
          <w:p w14:paraId="73B55294">
            <w:pPr>
              <w:jc w:val="center"/>
              <w:rPr>
                <w:rFonts w:hint="eastAsia"/>
                <w:color w:val="auto"/>
                <w:highlight w:val="none"/>
              </w:rPr>
            </w:pPr>
          </w:p>
          <w:p w14:paraId="463D48B3">
            <w:pPr>
              <w:jc w:val="center"/>
              <w:rPr>
                <w:rFonts w:hint="eastAsia"/>
                <w:color w:val="auto"/>
                <w:highlight w:val="none"/>
              </w:rPr>
            </w:pPr>
          </w:p>
          <w:p w14:paraId="034687EB">
            <w:pPr>
              <w:jc w:val="center"/>
              <w:rPr>
                <w:rFonts w:hint="eastAsia"/>
                <w:color w:val="auto"/>
                <w:highlight w:val="none"/>
              </w:rPr>
            </w:pPr>
          </w:p>
          <w:p w14:paraId="767E0BB5">
            <w:pPr>
              <w:jc w:val="center"/>
              <w:rPr>
                <w:rFonts w:hint="eastAsia"/>
                <w:color w:val="auto"/>
                <w:highlight w:val="none"/>
              </w:rPr>
            </w:pPr>
          </w:p>
          <w:p w14:paraId="3B983D14">
            <w:pPr>
              <w:jc w:val="center"/>
              <w:rPr>
                <w:rFonts w:hint="eastAsia"/>
                <w:color w:val="auto"/>
                <w:highlight w:val="none"/>
              </w:rPr>
            </w:pPr>
          </w:p>
          <w:p w14:paraId="444BC92A">
            <w:pPr>
              <w:jc w:val="center"/>
              <w:rPr>
                <w:rFonts w:hint="eastAsia"/>
                <w:color w:val="auto"/>
                <w:highlight w:val="none"/>
              </w:rPr>
            </w:pPr>
          </w:p>
          <w:p w14:paraId="42DF764A">
            <w:pPr>
              <w:jc w:val="center"/>
              <w:rPr>
                <w:rFonts w:hint="eastAsia"/>
                <w:color w:val="auto"/>
                <w:highlight w:val="none"/>
              </w:rPr>
            </w:pPr>
          </w:p>
          <w:p w14:paraId="0384B773">
            <w:pPr>
              <w:jc w:val="center"/>
              <w:rPr>
                <w:rFonts w:hint="eastAsia"/>
                <w:color w:val="auto"/>
                <w:highlight w:val="none"/>
              </w:rPr>
            </w:pPr>
          </w:p>
          <w:p w14:paraId="5CD724C8">
            <w:pPr>
              <w:jc w:val="center"/>
              <w:rPr>
                <w:rFonts w:hint="eastAsia"/>
                <w:color w:val="auto"/>
                <w:highlight w:val="none"/>
              </w:rPr>
            </w:pPr>
          </w:p>
          <w:p w14:paraId="248B5CEE">
            <w:pPr>
              <w:jc w:val="center"/>
              <w:rPr>
                <w:rFonts w:hint="eastAsia"/>
                <w:color w:val="auto"/>
                <w:highlight w:val="none"/>
              </w:rPr>
            </w:pPr>
          </w:p>
          <w:p w14:paraId="5C4F0E71">
            <w:pPr>
              <w:jc w:val="center"/>
              <w:rPr>
                <w:rFonts w:hint="eastAsia"/>
                <w:color w:val="auto"/>
                <w:highlight w:val="none"/>
              </w:rPr>
            </w:pPr>
          </w:p>
          <w:p w14:paraId="56750080">
            <w:pPr>
              <w:jc w:val="center"/>
              <w:rPr>
                <w:rFonts w:hint="eastAsia"/>
                <w:color w:val="auto"/>
                <w:highlight w:val="none"/>
              </w:rPr>
            </w:pPr>
          </w:p>
          <w:p w14:paraId="1DF2C157">
            <w:pPr>
              <w:jc w:val="center"/>
              <w:rPr>
                <w:rFonts w:hint="eastAsia"/>
                <w:color w:val="auto"/>
                <w:highlight w:val="none"/>
              </w:rPr>
            </w:pPr>
          </w:p>
          <w:p w14:paraId="7DBE664C">
            <w:pPr>
              <w:jc w:val="center"/>
              <w:rPr>
                <w:rFonts w:hint="eastAsia"/>
                <w:color w:val="auto"/>
                <w:highlight w:val="none"/>
              </w:rPr>
            </w:pPr>
          </w:p>
          <w:p w14:paraId="69510E77">
            <w:pPr>
              <w:jc w:val="center"/>
              <w:rPr>
                <w:rFonts w:hint="eastAsia"/>
                <w:color w:val="auto"/>
                <w:highlight w:val="none"/>
              </w:rPr>
            </w:pPr>
          </w:p>
          <w:p w14:paraId="544468DF">
            <w:pPr>
              <w:jc w:val="center"/>
              <w:rPr>
                <w:rFonts w:hint="eastAsia"/>
                <w:color w:val="auto"/>
                <w:highlight w:val="none"/>
              </w:rPr>
            </w:pPr>
          </w:p>
          <w:p w14:paraId="7B09B8A4">
            <w:pPr>
              <w:jc w:val="center"/>
              <w:rPr>
                <w:rFonts w:hint="eastAsia"/>
                <w:color w:val="auto"/>
                <w:highlight w:val="none"/>
              </w:rPr>
            </w:pPr>
          </w:p>
          <w:p w14:paraId="6EDF1C08">
            <w:pPr>
              <w:jc w:val="center"/>
              <w:rPr>
                <w:rFonts w:hint="eastAsia"/>
                <w:color w:val="auto"/>
                <w:highlight w:val="none"/>
              </w:rPr>
            </w:pPr>
          </w:p>
          <w:p w14:paraId="2BBEF8D4">
            <w:pPr>
              <w:jc w:val="center"/>
              <w:rPr>
                <w:rFonts w:hint="eastAsia"/>
                <w:color w:val="auto"/>
                <w:highlight w:val="none"/>
              </w:rPr>
            </w:pPr>
          </w:p>
          <w:p w14:paraId="7D96A0C8">
            <w:pPr>
              <w:jc w:val="center"/>
              <w:rPr>
                <w:rFonts w:hint="eastAsia"/>
                <w:color w:val="auto"/>
                <w:highlight w:val="none"/>
              </w:rPr>
            </w:pPr>
          </w:p>
          <w:p w14:paraId="38EE0BCA">
            <w:pPr>
              <w:jc w:val="both"/>
              <w:rPr>
                <w:rFonts w:hint="eastAsia"/>
                <w:color w:val="auto"/>
                <w:highlight w:val="none"/>
              </w:rPr>
            </w:pPr>
          </w:p>
          <w:p w14:paraId="744EBD62">
            <w:pPr>
              <w:jc w:val="center"/>
              <w:rPr>
                <w:color w:val="auto"/>
                <w:highlight w:val="none"/>
              </w:rPr>
            </w:pPr>
            <w:r>
              <w:rPr>
                <w:rFonts w:hint="eastAsia"/>
                <w:color w:val="auto"/>
                <w:highlight w:val="none"/>
              </w:rPr>
              <w:t>管理端Web</w:t>
            </w:r>
          </w:p>
        </w:tc>
        <w:tc>
          <w:tcPr>
            <w:tcW w:w="6589" w:type="dxa"/>
            <w:noWrap w:val="0"/>
            <w:vAlign w:val="center"/>
          </w:tcPr>
          <w:p w14:paraId="30E793B5">
            <w:pPr>
              <w:jc w:val="left"/>
              <w:rPr>
                <w:color w:val="auto"/>
                <w:highlight w:val="none"/>
              </w:rPr>
            </w:pPr>
            <w:r>
              <w:rPr>
                <w:rFonts w:hint="eastAsia" w:ascii="宋体" w:hAnsi="宋体" w:cs="宋体"/>
                <w:b/>
                <w:color w:val="auto"/>
                <w:szCs w:val="21"/>
                <w:highlight w:val="none"/>
              </w:rPr>
              <w:t>★</w:t>
            </w:r>
            <w:r>
              <w:rPr>
                <w:rFonts w:hint="eastAsia"/>
                <w:color w:val="auto"/>
                <w:highlight w:val="none"/>
              </w:rPr>
              <w:t>B端管理基础功能，组织管理：提供了组织管理功能，用户可以通过查询组织名称来查找相关部门记录，同时提供添加和删除功能。部门列表以树状图的形式展现组织名称，用户可以对部门记录进行编辑等列表操作。还提供了查询项、查询按钮、开关筛选条件和刷新等功能，方便用户进行部门管理和筛选；角色管理功能，用户可以通过查询角色名称来查找相关角色记录，同时提供添加和删除功能。角色列表以树状图的形式展现角色名称，用户可以对角色记录进行编辑等列表操作。还提供了查询项、查询按钮、开关筛选条件和刷新等功能，方便用户进行角色管理和筛选；用户管理功能，用户可以通过查询用户姓名来查找相关用户记录，同时提供添加、删除和导入功能，可以批量导入用户信息。可以对用户记录进行查看档案、重置密码、编辑和删除等列表操作。还提供了查询项、查询按钮、开关筛选条件和刷新等功能，方便用户进行用户管理和筛选。提供系统各个用户的操作日志，包括增删改查等数据交互操作记录，可定位用户IP和账号以及具体操作内容和时间。系统可以发送通知提醒，确保用户不错过重要的心理健康活动、任务截止日期或更新。用户可以接收来自系统或其他用户的消息通知，如回复、新的活动提醒或重要更新。</w:t>
            </w:r>
          </w:p>
        </w:tc>
      </w:tr>
      <w:tr w14:paraId="778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053D482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18" w:type="dxa"/>
            <w:vMerge w:val="continue"/>
            <w:noWrap w:val="0"/>
            <w:vAlign w:val="center"/>
          </w:tcPr>
          <w:p w14:paraId="7EBDCC68">
            <w:pPr>
              <w:jc w:val="center"/>
              <w:rPr>
                <w:color w:val="auto"/>
                <w:highlight w:val="none"/>
              </w:rPr>
            </w:pPr>
          </w:p>
        </w:tc>
        <w:tc>
          <w:tcPr>
            <w:tcW w:w="6589" w:type="dxa"/>
            <w:noWrap w:val="0"/>
            <w:vAlign w:val="center"/>
          </w:tcPr>
          <w:p w14:paraId="10E177D7">
            <w:pPr>
              <w:widowControl/>
              <w:jc w:val="left"/>
              <w:rPr>
                <w:color w:val="auto"/>
                <w:highlight w:val="none"/>
              </w:rPr>
            </w:pPr>
            <w:r>
              <w:rPr>
                <w:rFonts w:hint="eastAsia" w:ascii="宋体" w:hAnsi="宋体" w:cs="宋体"/>
                <w:b/>
                <w:color w:val="auto"/>
                <w:szCs w:val="21"/>
                <w:highlight w:val="none"/>
              </w:rPr>
              <w:t>★</w:t>
            </w:r>
            <w:r>
              <w:rPr>
                <w:rFonts w:hint="eastAsia"/>
                <w:color w:val="auto"/>
                <w:highlight w:val="none"/>
              </w:rPr>
              <w:t>提供了查询量表、添加量表、删除量表、量表列表信息和列表操作等功能，包括编辑量表、编辑题库、查看详情、发起测评、报告规则和预警规则等操作，用户可以方便地对量表进行管理和测评。</w:t>
            </w:r>
          </w:p>
        </w:tc>
      </w:tr>
      <w:tr w14:paraId="5A58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2E2E6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8" w:type="dxa"/>
            <w:vMerge w:val="continue"/>
            <w:noWrap w:val="0"/>
            <w:vAlign w:val="center"/>
          </w:tcPr>
          <w:p w14:paraId="4F0628CA">
            <w:pPr>
              <w:jc w:val="center"/>
              <w:rPr>
                <w:color w:val="auto"/>
                <w:highlight w:val="none"/>
              </w:rPr>
            </w:pPr>
          </w:p>
        </w:tc>
        <w:tc>
          <w:tcPr>
            <w:tcW w:w="6589" w:type="dxa"/>
            <w:noWrap w:val="0"/>
            <w:vAlign w:val="center"/>
          </w:tcPr>
          <w:p w14:paraId="165387AD">
            <w:pPr>
              <w:widowControl/>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color w:val="auto"/>
                <w:highlight w:val="none"/>
              </w:rPr>
              <w:t>自带量表库（要求包含专业测评</w:t>
            </w:r>
            <w:r>
              <w:rPr>
                <w:rFonts w:hint="eastAsia"/>
                <w:color w:val="auto"/>
                <w:highlight w:val="none"/>
                <w:lang w:eastAsia="zh-CN"/>
              </w:rPr>
              <w:t>、</w:t>
            </w:r>
            <w:r>
              <w:rPr>
                <w:rFonts w:hint="eastAsia"/>
                <w:color w:val="auto"/>
                <w:highlight w:val="none"/>
              </w:rPr>
              <w:t>国际通用量表）</w:t>
            </w:r>
            <w:r>
              <w:rPr>
                <w:rFonts w:hint="eastAsia"/>
                <w:color w:val="auto"/>
                <w:highlight w:val="none"/>
                <w:lang w:eastAsia="zh-CN"/>
              </w:rPr>
              <w:t>，</w:t>
            </w:r>
            <w:r>
              <w:rPr>
                <w:rFonts w:hint="eastAsia"/>
                <w:color w:val="auto"/>
                <w:highlight w:val="none"/>
              </w:rPr>
              <w:t>包括但不限于心理健康、压力与应对、价值观、生命意义、心理动力、个性特征、意志品质、情绪情感品质、职业状态、人际关系、社会支持、生活事件等维度，量表总数量不低于</w:t>
            </w:r>
            <w:r>
              <w:rPr>
                <w:color w:val="auto"/>
                <w:highlight w:val="none"/>
              </w:rPr>
              <w:t>80</w:t>
            </w:r>
            <w:r>
              <w:rPr>
                <w:rFonts w:hint="eastAsia"/>
                <w:color w:val="auto"/>
                <w:highlight w:val="none"/>
              </w:rPr>
              <w:t>个（须罗列量表目录，并可根据需求添加量表），</w:t>
            </w:r>
            <w:r>
              <w:rPr>
                <w:rFonts w:hint="eastAsia"/>
                <w:color w:val="000000" w:themeColor="text1"/>
                <w:highlight w:val="none"/>
                <w:lang w:val="en-US" w:eastAsia="zh-CN"/>
                <w14:textFill>
                  <w14:solidFill>
                    <w14:schemeClr w14:val="tx1"/>
                  </w14:solidFill>
                </w14:textFill>
              </w:rPr>
              <w:t>必须包含conners行为量表和mht中小学生心理健康量表。</w:t>
            </w:r>
          </w:p>
        </w:tc>
      </w:tr>
      <w:tr w14:paraId="22B1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43215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8" w:type="dxa"/>
            <w:vMerge w:val="continue"/>
            <w:noWrap w:val="0"/>
            <w:vAlign w:val="center"/>
          </w:tcPr>
          <w:p w14:paraId="417AFE23">
            <w:pPr>
              <w:jc w:val="center"/>
              <w:rPr>
                <w:color w:val="auto"/>
                <w:highlight w:val="none"/>
              </w:rPr>
            </w:pPr>
          </w:p>
        </w:tc>
        <w:tc>
          <w:tcPr>
            <w:tcW w:w="6589" w:type="dxa"/>
            <w:noWrap w:val="0"/>
            <w:vAlign w:val="center"/>
          </w:tcPr>
          <w:p w14:paraId="36D30722">
            <w:pPr>
              <w:widowControl/>
              <w:jc w:val="left"/>
              <w:rPr>
                <w:rFonts w:hint="eastAsia" w:eastAsia="宋体"/>
                <w:color w:val="auto"/>
                <w:highlight w:val="none"/>
                <w:lang w:eastAsia="zh-CN"/>
              </w:rPr>
            </w:pPr>
            <w:r>
              <w:rPr>
                <w:rFonts w:hint="eastAsia" w:ascii="宋体" w:hAnsi="宋体" w:cs="宋体"/>
                <w:b/>
                <w:color w:val="auto"/>
                <w:szCs w:val="21"/>
                <w:highlight w:val="none"/>
              </w:rPr>
              <w:t>★</w:t>
            </w:r>
            <w:r>
              <w:rPr>
                <w:rFonts w:hint="eastAsia"/>
                <w:color w:val="auto"/>
                <w:highlight w:val="none"/>
              </w:rPr>
              <w:t>所有测评量表均能实时生成测评报告，测评报告包含量表简介、测评结果分析、指导建议和风险预警；要求测评结果是基于标准化常模数据得出的可信可靠结论，信效度指标符合心理学行业要求</w:t>
            </w:r>
            <w:r>
              <w:rPr>
                <w:rFonts w:hint="eastAsia"/>
                <w:color w:val="auto"/>
                <w:highlight w:val="none"/>
                <w:lang w:eastAsia="zh-CN"/>
              </w:rPr>
              <w:t>。</w:t>
            </w:r>
          </w:p>
        </w:tc>
      </w:tr>
      <w:tr w14:paraId="1D36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4B648A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18" w:type="dxa"/>
            <w:vMerge w:val="continue"/>
            <w:noWrap w:val="0"/>
            <w:vAlign w:val="center"/>
          </w:tcPr>
          <w:p w14:paraId="754B1123">
            <w:pPr>
              <w:jc w:val="center"/>
              <w:rPr>
                <w:color w:val="auto"/>
                <w:highlight w:val="none"/>
              </w:rPr>
            </w:pPr>
          </w:p>
        </w:tc>
        <w:tc>
          <w:tcPr>
            <w:tcW w:w="6589" w:type="dxa"/>
            <w:noWrap w:val="0"/>
            <w:vAlign w:val="center"/>
          </w:tcPr>
          <w:p w14:paraId="6BC3B594">
            <w:pPr>
              <w:jc w:val="left"/>
              <w:rPr>
                <w:rFonts w:hint="eastAsia"/>
                <w:color w:val="auto"/>
                <w:highlight w:val="none"/>
              </w:rPr>
            </w:pPr>
            <w:r>
              <w:rPr>
                <w:rFonts w:hint="eastAsia" w:ascii="宋体" w:hAnsi="宋体" w:cs="宋体"/>
                <w:b/>
                <w:color w:val="auto"/>
                <w:szCs w:val="21"/>
                <w:highlight w:val="none"/>
              </w:rPr>
              <w:t>★</w:t>
            </w:r>
            <w:r>
              <w:rPr>
                <w:rFonts w:hint="eastAsia"/>
                <w:color w:val="auto"/>
                <w:highlight w:val="none"/>
              </w:rPr>
              <w:t>提供测评管理功能，包括查询测评记录、添加测评记录、删除测评记录、测评记录列表信息和列表操作等功能，用户可以方便地对测评进行管理，包括复制链接、编辑和删除等操作。</w:t>
            </w:r>
          </w:p>
        </w:tc>
      </w:tr>
      <w:tr w14:paraId="1155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663F71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18" w:type="dxa"/>
            <w:vMerge w:val="continue"/>
            <w:noWrap w:val="0"/>
            <w:vAlign w:val="center"/>
          </w:tcPr>
          <w:p w14:paraId="3B54A1B7">
            <w:pPr>
              <w:jc w:val="center"/>
              <w:rPr>
                <w:color w:val="auto"/>
                <w:highlight w:val="none"/>
              </w:rPr>
            </w:pPr>
          </w:p>
        </w:tc>
        <w:tc>
          <w:tcPr>
            <w:tcW w:w="6589" w:type="dxa"/>
            <w:noWrap w:val="0"/>
            <w:vAlign w:val="center"/>
          </w:tcPr>
          <w:p w14:paraId="79845E4F">
            <w:pPr>
              <w:jc w:val="left"/>
              <w:rPr>
                <w:color w:val="auto"/>
                <w:highlight w:val="none"/>
              </w:rPr>
            </w:pPr>
            <w:r>
              <w:rPr>
                <w:color w:val="auto"/>
                <w:highlight w:val="none"/>
              </w:rPr>
              <w:t>▲</w:t>
            </w:r>
            <w:r>
              <w:rPr>
                <w:rFonts w:hint="eastAsia"/>
                <w:color w:val="auto"/>
                <w:highlight w:val="none"/>
              </w:rPr>
              <w:t>提供报告管理功能，用户可以通过查询测评名称和测评人员来查找相关报告记录，用户可以按测评人员、测评组织查看相应的报告。可以按照不同维度导出报告。</w:t>
            </w:r>
          </w:p>
        </w:tc>
      </w:tr>
      <w:tr w14:paraId="7F6B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B4812E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18" w:type="dxa"/>
            <w:vMerge w:val="continue"/>
            <w:noWrap w:val="0"/>
            <w:vAlign w:val="center"/>
          </w:tcPr>
          <w:p w14:paraId="264ED33B">
            <w:pPr>
              <w:jc w:val="center"/>
              <w:rPr>
                <w:color w:val="auto"/>
                <w:highlight w:val="none"/>
              </w:rPr>
            </w:pPr>
          </w:p>
        </w:tc>
        <w:tc>
          <w:tcPr>
            <w:tcW w:w="6589" w:type="dxa"/>
            <w:noWrap w:val="0"/>
            <w:vAlign w:val="center"/>
          </w:tcPr>
          <w:p w14:paraId="7ACCA449">
            <w:pPr>
              <w:widowControl/>
              <w:jc w:val="left"/>
              <w:rPr>
                <w:rFonts w:hint="eastAsia"/>
                <w:color w:val="auto"/>
                <w:highlight w:val="none"/>
              </w:rPr>
            </w:pPr>
            <w:r>
              <w:rPr>
                <w:rFonts w:hint="eastAsia"/>
                <w:color w:val="auto"/>
                <w:highlight w:val="none"/>
              </w:rPr>
              <w:t>提供预警管理通过查询预警人员和预警级别来查找相关预警记录，可以对预警记录进行列表操作；★1.危机分级：要求将心理危机进行等级级预警（出现自伤、自杀或伤人的行为，已危及自身或他人的生命安全，近期有一定的诱发事件和动机并表现出自杀或伤人的倾向；出现疑似精神障碍症状，例如妄想、幻觉、思维紊乱、情绪失控、明显的行为异常、严重缺乏自知能力等。存在高风险的自伤行为，已确诊患有精神障碍并正在接受治疗；存在不同程度的心理问题，如轻度抑郁、焦虑、强迫等，影响学习生活，但自知力完整），系统内能对预警人员风险等级划分有详细的数据支撑和判定说明，方便管理者查看，更好理解与掌握预警级别，做好危机干预工作；</w:t>
            </w:r>
          </w:p>
          <w:p w14:paraId="3E8EBA47">
            <w:pPr>
              <w:widowControl/>
              <w:jc w:val="left"/>
              <w:rPr>
                <w:color w:val="auto"/>
                <w:highlight w:val="none"/>
              </w:rPr>
            </w:pPr>
            <w:r>
              <w:rPr>
                <w:rFonts w:hint="eastAsia"/>
                <w:color w:val="auto"/>
                <w:highlight w:val="none"/>
              </w:rPr>
              <w:t>★2.实时预警：</w:t>
            </w:r>
            <w:r>
              <w:rPr>
                <w:rFonts w:hint="eastAsia"/>
                <w:color w:val="auto"/>
                <w:highlight w:val="none"/>
                <w:lang w:eastAsia="ja-JP"/>
              </w:rPr>
              <w:t>①</w:t>
            </w:r>
            <w:r>
              <w:rPr>
                <w:rFonts w:hint="eastAsia"/>
                <w:color w:val="auto"/>
                <w:highlight w:val="none"/>
              </w:rPr>
              <w:t>风险识别与锁定：系统通过心理测评数据、及其他相关信息的智能综合分析，自动识别出存在抑郁、自杀（伤）、伤人等高风险倾向的学生，一旦识别到风险，系统会立即对该学生进行锁定；②数据整合与推送：在锁定高风险学生后，整合该学生的个人心理测评记录以及咨询对话记录，数据经过加密处理后，自动推送到管理端，以便管理人员能够迅速了解情况并作出相应处理；</w:t>
            </w:r>
            <w:r>
              <w:rPr>
                <w:rFonts w:hint="eastAsia"/>
                <w:color w:val="auto"/>
                <w:highlight w:val="none"/>
                <w:lang w:eastAsia="ja-JP"/>
              </w:rPr>
              <w:t>③</w:t>
            </w:r>
            <w:r>
              <w:rPr>
                <w:rFonts w:hint="eastAsia"/>
                <w:color w:val="auto"/>
                <w:highlight w:val="none"/>
              </w:rPr>
              <w:t>实时更新与监控：预警管理功能支持对学生风险状态的实时监控与更新，一旦学生的风险状态发生变化，系统会立即更新相关信息，并重新评估风险等级；可以按照不同维度导出预警数据。</w:t>
            </w:r>
          </w:p>
        </w:tc>
      </w:tr>
      <w:tr w14:paraId="78A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95AFCF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18" w:type="dxa"/>
            <w:vMerge w:val="continue"/>
            <w:noWrap w:val="0"/>
            <w:vAlign w:val="center"/>
          </w:tcPr>
          <w:p w14:paraId="1F94F2E7">
            <w:pPr>
              <w:jc w:val="center"/>
              <w:rPr>
                <w:color w:val="auto"/>
                <w:highlight w:val="none"/>
              </w:rPr>
            </w:pPr>
          </w:p>
        </w:tc>
        <w:tc>
          <w:tcPr>
            <w:tcW w:w="6589" w:type="dxa"/>
            <w:noWrap w:val="0"/>
            <w:vAlign w:val="center"/>
          </w:tcPr>
          <w:p w14:paraId="44BAADCD">
            <w:pPr>
              <w:jc w:val="left"/>
              <w:rPr>
                <w:color w:val="auto"/>
                <w:highlight w:val="none"/>
              </w:rPr>
            </w:pPr>
            <w:r>
              <w:rPr>
                <w:rFonts w:hint="eastAsia" w:ascii="宋体" w:hAnsi="宋体" w:cs="宋体"/>
                <w:b/>
                <w:color w:val="auto"/>
                <w:szCs w:val="21"/>
                <w:highlight w:val="none"/>
              </w:rPr>
              <w:t>★</w:t>
            </w:r>
            <w:r>
              <w:rPr>
                <w:rFonts w:hint="eastAsia"/>
                <w:color w:val="auto"/>
                <w:highlight w:val="none"/>
              </w:rPr>
              <w:t>提供了咨询管理功能，用户可以通过查询咨询人员来查找相关咨询记录，同时提供添加和删除功能，用户可以对咨询记录进行编辑和删除等列表操作。</w:t>
            </w:r>
          </w:p>
        </w:tc>
      </w:tr>
      <w:tr w14:paraId="3DEE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91FF6D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18" w:type="dxa"/>
            <w:vMerge w:val="continue"/>
            <w:noWrap w:val="0"/>
            <w:vAlign w:val="center"/>
          </w:tcPr>
          <w:p w14:paraId="49817901">
            <w:pPr>
              <w:jc w:val="center"/>
              <w:rPr>
                <w:color w:val="auto"/>
                <w:highlight w:val="none"/>
              </w:rPr>
            </w:pPr>
          </w:p>
        </w:tc>
        <w:tc>
          <w:tcPr>
            <w:tcW w:w="6589" w:type="dxa"/>
            <w:noWrap w:val="0"/>
            <w:vAlign w:val="center"/>
          </w:tcPr>
          <w:p w14:paraId="1C3B9BE3">
            <w:pPr>
              <w:jc w:val="left"/>
              <w:rPr>
                <w:rFonts w:hint="eastAsia"/>
                <w:color w:val="auto"/>
                <w:highlight w:val="none"/>
              </w:rPr>
            </w:pPr>
            <w:r>
              <w:rPr>
                <w:color w:val="auto"/>
                <w:highlight w:val="none"/>
              </w:rPr>
              <w:t>▲</w:t>
            </w:r>
            <w:r>
              <w:rPr>
                <w:rFonts w:hint="eastAsia"/>
                <w:color w:val="auto"/>
                <w:highlight w:val="none"/>
              </w:rPr>
              <w:t>提供了干预管理功能，用户可以通过查询干预人员来查找相关干预记录，同时提供添加和删除功能，添加干预时，用户可以关联选择已有的方案，用户可以对干预记录进行编辑和删除等列表操作。</w:t>
            </w:r>
          </w:p>
        </w:tc>
      </w:tr>
      <w:tr w14:paraId="265F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B1D6E2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18" w:type="dxa"/>
            <w:vMerge w:val="continue"/>
            <w:noWrap w:val="0"/>
            <w:vAlign w:val="center"/>
          </w:tcPr>
          <w:p w14:paraId="6180A417">
            <w:pPr>
              <w:jc w:val="center"/>
              <w:rPr>
                <w:color w:val="auto"/>
                <w:highlight w:val="none"/>
              </w:rPr>
            </w:pPr>
          </w:p>
        </w:tc>
        <w:tc>
          <w:tcPr>
            <w:tcW w:w="6589" w:type="dxa"/>
            <w:noWrap w:val="0"/>
            <w:vAlign w:val="center"/>
          </w:tcPr>
          <w:p w14:paraId="5F1190A3">
            <w:pPr>
              <w:jc w:val="left"/>
              <w:rPr>
                <w:color w:val="auto"/>
                <w:highlight w:val="none"/>
              </w:rPr>
            </w:pPr>
            <w:r>
              <w:rPr>
                <w:color w:val="auto"/>
                <w:highlight w:val="none"/>
              </w:rPr>
              <w:t>▲</w:t>
            </w:r>
            <w:r>
              <w:rPr>
                <w:rFonts w:hint="eastAsia"/>
                <w:color w:val="auto"/>
                <w:highlight w:val="none"/>
              </w:rPr>
              <w:t>提供了方案库管理功能，用户可以通过查询方案名称来查找相关方案记录，同时提供添加和删除功能，用户可以对方案记录进行编辑和删除等列表操作。</w:t>
            </w:r>
          </w:p>
        </w:tc>
      </w:tr>
      <w:tr w14:paraId="5C92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4DA0B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18" w:type="dxa"/>
            <w:vMerge w:val="continue"/>
            <w:noWrap w:val="0"/>
            <w:vAlign w:val="center"/>
          </w:tcPr>
          <w:p w14:paraId="6780147F">
            <w:pPr>
              <w:jc w:val="center"/>
              <w:rPr>
                <w:color w:val="auto"/>
                <w:highlight w:val="none"/>
              </w:rPr>
            </w:pPr>
          </w:p>
        </w:tc>
        <w:tc>
          <w:tcPr>
            <w:tcW w:w="6589" w:type="dxa"/>
            <w:noWrap w:val="0"/>
            <w:vAlign w:val="center"/>
          </w:tcPr>
          <w:p w14:paraId="14ADB4DB">
            <w:pPr>
              <w:jc w:val="left"/>
              <w:rPr>
                <w:color w:val="auto"/>
                <w:highlight w:val="none"/>
              </w:rPr>
            </w:pPr>
            <w:r>
              <w:rPr>
                <w:rFonts w:hint="eastAsia" w:ascii="宋体" w:hAnsi="宋体" w:cs="宋体"/>
                <w:b/>
                <w:color w:val="auto"/>
                <w:szCs w:val="21"/>
                <w:highlight w:val="none"/>
              </w:rPr>
              <w:t>★</w:t>
            </w:r>
            <w:r>
              <w:rPr>
                <w:rFonts w:hint="eastAsia"/>
                <w:color w:val="auto"/>
                <w:highlight w:val="none"/>
              </w:rPr>
              <w:t>提供了AI录音功能，用户可以通过开始录音和结束录音来进行录音操作，同时对接通义听悟，用户可以进行重听录音、筛选（标记内容/发言人）等操作，系统可以进行发言人区分，便于用户进行录音管理和分析。</w:t>
            </w:r>
          </w:p>
        </w:tc>
      </w:tr>
      <w:tr w14:paraId="7696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5181A2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18" w:type="dxa"/>
            <w:vMerge w:val="continue"/>
            <w:noWrap w:val="0"/>
            <w:vAlign w:val="center"/>
          </w:tcPr>
          <w:p w14:paraId="7A251EDF">
            <w:pPr>
              <w:jc w:val="center"/>
              <w:rPr>
                <w:color w:val="auto"/>
                <w:highlight w:val="none"/>
              </w:rPr>
            </w:pPr>
          </w:p>
        </w:tc>
        <w:tc>
          <w:tcPr>
            <w:tcW w:w="6589" w:type="dxa"/>
            <w:noWrap w:val="0"/>
            <w:vAlign w:val="center"/>
          </w:tcPr>
          <w:p w14:paraId="78EC32A9">
            <w:pPr>
              <w:widowControl/>
              <w:jc w:val="left"/>
              <w:rPr>
                <w:rFonts w:hint="eastAsia"/>
                <w:color w:val="auto"/>
                <w:highlight w:val="none"/>
              </w:rPr>
            </w:pPr>
            <w:r>
              <w:rPr>
                <w:rFonts w:hint="eastAsia" w:ascii="宋体" w:hAnsi="宋体" w:cs="宋体"/>
                <w:b/>
                <w:color w:val="auto"/>
                <w:szCs w:val="21"/>
                <w:highlight w:val="none"/>
              </w:rPr>
              <w:t>★</w:t>
            </w:r>
            <w:r>
              <w:rPr>
                <w:rFonts w:hint="eastAsia"/>
                <w:color w:val="auto"/>
                <w:highlight w:val="none"/>
              </w:rPr>
              <w:t>提供了AI数字人功能，用户可以通过数字人H5页面进行数字人操作，包括开始对话、停止对话、对话记录、语音识别和形象切换等功能，方便用户进行数字人交互和管理。1.智能交互功能：要求采用智能化技术手段打造心理咨询角色，通过专业知识及情绪互动，为用户提供专业的心理咨询和情绪陪伴，支持语音交互和文本交互，能够实时响应用户的指令和需求，要求延时≤3000ms；</w:t>
            </w:r>
          </w:p>
          <w:p w14:paraId="0EB14DA6">
            <w:pPr>
              <w:widowControl/>
              <w:jc w:val="left"/>
              <w:rPr>
                <w:rFonts w:hint="eastAsia"/>
                <w:color w:val="auto"/>
                <w:highlight w:val="none"/>
              </w:rPr>
            </w:pPr>
            <w:r>
              <w:rPr>
                <w:rFonts w:hint="eastAsia"/>
                <w:color w:val="auto"/>
                <w:highlight w:val="none"/>
              </w:rPr>
              <w:t>2.智能分析功能：集成训练AIGC(生成式人工智能)，使咨询服务能够精准解析学生提交的文字咨询内容，理解其情绪状态、问题核心及潜在需求。通过多轮对话机制，确保咨询服务可以根据上下文进行连贯问答，并通过追问或澄清来进一步明确问题，支持单次咨询问题数量≥30个回合。</w:t>
            </w:r>
          </w:p>
          <w:p w14:paraId="20B3CF28">
            <w:pPr>
              <w:widowControl/>
              <w:jc w:val="left"/>
              <w:rPr>
                <w:rFonts w:hint="eastAsia"/>
                <w:color w:val="auto"/>
                <w:highlight w:val="none"/>
              </w:rPr>
            </w:pPr>
            <w:r>
              <w:rPr>
                <w:rFonts w:hint="eastAsia"/>
                <w:color w:val="auto"/>
                <w:highlight w:val="none"/>
              </w:rPr>
              <w:t>①要求具备意图识别功能：用来识别和理解用户的需求和目标，可以根据用户的语言，如关键词、问题、请求等，来判断用户的意图，监测不正当对话内容</w:t>
            </w:r>
            <w:r>
              <w:rPr>
                <w:rFonts w:hint="eastAsia"/>
                <w:strike w:val="0"/>
                <w:dstrike w:val="0"/>
                <w:color w:val="auto"/>
                <w:highlight w:val="none"/>
                <w:lang w:eastAsia="zh-CN"/>
              </w:rPr>
              <w:t>。</w:t>
            </w:r>
            <w:r>
              <w:rPr>
                <w:rFonts w:hint="eastAsia"/>
                <w:color w:val="auto"/>
                <w:highlight w:val="none"/>
              </w:rPr>
              <w:t>②要求具备数据分析功能：收集用户满意度数据、对话有效性统计等信息，用来分析和优化心理咨询效果，能定期评估和优化服务质量，保证服务内容的专业性和准确性；</w:t>
            </w:r>
          </w:p>
          <w:p w14:paraId="10CEE32C">
            <w:pPr>
              <w:widowControl/>
              <w:jc w:val="left"/>
              <w:rPr>
                <w:color w:val="auto"/>
                <w:highlight w:val="none"/>
              </w:rPr>
            </w:pPr>
            <w:r>
              <w:rPr>
                <w:rFonts w:hint="eastAsia"/>
                <w:color w:val="auto"/>
                <w:highlight w:val="none"/>
              </w:rPr>
              <w:t>心理咨询内容：能有效开展包括但不限于解决回应一般情绪问题：抑郁、焦虑、压力、孤独等不少于20个因子。</w:t>
            </w:r>
          </w:p>
        </w:tc>
      </w:tr>
      <w:tr w14:paraId="05B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0F149BE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518" w:type="dxa"/>
            <w:vMerge w:val="continue"/>
            <w:noWrap w:val="0"/>
            <w:vAlign w:val="center"/>
          </w:tcPr>
          <w:p w14:paraId="2276645E">
            <w:pPr>
              <w:jc w:val="center"/>
              <w:rPr>
                <w:color w:val="auto"/>
                <w:highlight w:val="none"/>
              </w:rPr>
            </w:pPr>
          </w:p>
        </w:tc>
        <w:tc>
          <w:tcPr>
            <w:tcW w:w="6589" w:type="dxa"/>
            <w:noWrap w:val="0"/>
            <w:vAlign w:val="center"/>
          </w:tcPr>
          <w:p w14:paraId="1A0D5F50">
            <w:pPr>
              <w:widowControl/>
              <w:jc w:val="left"/>
              <w:rPr>
                <w:rFonts w:hint="eastAsia"/>
                <w:color w:val="auto"/>
                <w:highlight w:val="none"/>
              </w:rPr>
            </w:pPr>
            <w:r>
              <w:rPr>
                <w:rFonts w:hint="eastAsia" w:ascii="宋体" w:hAnsi="宋体" w:cs="宋体"/>
                <w:b/>
                <w:color w:val="auto"/>
                <w:szCs w:val="21"/>
                <w:highlight w:val="none"/>
              </w:rPr>
              <w:t>★</w:t>
            </w:r>
            <w:r>
              <w:rPr>
                <w:rFonts w:hint="eastAsia"/>
                <w:color w:val="auto"/>
                <w:highlight w:val="none"/>
              </w:rPr>
              <w:t>提供了AI聊天功能，用户可以在管理端通过新建聊天开始聊天，可以查看聊天记录。用户可以在聊天窗口中查看我的聊天和AI的聊天记录，方便用户进行聊天管理和交互。</w:t>
            </w:r>
          </w:p>
        </w:tc>
      </w:tr>
      <w:tr w14:paraId="0498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06F98E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518" w:type="dxa"/>
            <w:vMerge w:val="continue"/>
            <w:noWrap w:val="0"/>
            <w:vAlign w:val="center"/>
          </w:tcPr>
          <w:p w14:paraId="413E50CE">
            <w:pPr>
              <w:jc w:val="center"/>
              <w:rPr>
                <w:color w:val="auto"/>
                <w:highlight w:val="none"/>
              </w:rPr>
            </w:pPr>
          </w:p>
        </w:tc>
        <w:tc>
          <w:tcPr>
            <w:tcW w:w="6589" w:type="dxa"/>
            <w:noWrap w:val="0"/>
            <w:vAlign w:val="center"/>
          </w:tcPr>
          <w:p w14:paraId="68D7E8D9">
            <w:pPr>
              <w:jc w:val="left"/>
              <w:rPr>
                <w:color w:val="auto"/>
                <w:highlight w:val="none"/>
              </w:rPr>
            </w:pPr>
            <w:r>
              <w:rPr>
                <w:color w:val="auto"/>
                <w:highlight w:val="none"/>
              </w:rPr>
              <w:t>▲</w:t>
            </w:r>
            <w:r>
              <w:rPr>
                <w:rFonts w:hint="eastAsia"/>
                <w:color w:val="auto"/>
                <w:highlight w:val="none"/>
              </w:rPr>
              <w:t>提供数据统计功能，数据可视化功能：显示当前用户所授权组织的男女人数、预警人数、预警类型分布情况、指定周测评完成数据、指定周测评预警数据、通知公告，可以通过该功能统计单个学校的大屏数据，包括基本情况、测评进度、年龄性别分布、学生心理状态情况、测评情况、测评人数统计、预警Top统计（班级）、预警级别对比、预警因子对比和预警人数统计等数据，方便用户了解学校的各项数据情况。</w:t>
            </w:r>
          </w:p>
        </w:tc>
      </w:tr>
      <w:tr w14:paraId="78E9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B1FB88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518" w:type="dxa"/>
            <w:vMerge w:val="continue"/>
            <w:noWrap w:val="0"/>
            <w:vAlign w:val="center"/>
          </w:tcPr>
          <w:p w14:paraId="7358DCE1">
            <w:pPr>
              <w:jc w:val="center"/>
              <w:rPr>
                <w:color w:val="auto"/>
                <w:highlight w:val="none"/>
              </w:rPr>
            </w:pPr>
          </w:p>
        </w:tc>
        <w:tc>
          <w:tcPr>
            <w:tcW w:w="6589" w:type="dxa"/>
            <w:noWrap w:val="0"/>
            <w:vAlign w:val="center"/>
          </w:tcPr>
          <w:p w14:paraId="336EAA78">
            <w:pPr>
              <w:jc w:val="left"/>
              <w:rPr>
                <w:rFonts w:hint="eastAsia"/>
                <w:color w:val="auto"/>
                <w:highlight w:val="none"/>
              </w:rPr>
            </w:pPr>
            <w:r>
              <w:rPr>
                <w:color w:val="auto"/>
                <w:highlight w:val="none"/>
              </w:rPr>
              <w:t>▲</w:t>
            </w:r>
            <w:r>
              <w:rPr>
                <w:rFonts w:hint="eastAsia"/>
                <w:color w:val="auto"/>
                <w:highlight w:val="none"/>
              </w:rPr>
              <w:t>创建、分配、跟踪和完成心理健康相关的任务和活动，如日常情绪记录、参与心理健康课程或完成特定的心理练习。可以上报完成的任务，记录进展情况，并接收来自心理咨询师或系统管理员的反馈。</w:t>
            </w:r>
          </w:p>
        </w:tc>
      </w:tr>
      <w:tr w14:paraId="3F6B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F091BB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518" w:type="dxa"/>
            <w:vMerge w:val="continue"/>
            <w:noWrap w:val="0"/>
            <w:vAlign w:val="center"/>
          </w:tcPr>
          <w:p w14:paraId="56177F6C">
            <w:pPr>
              <w:jc w:val="center"/>
              <w:rPr>
                <w:color w:val="auto"/>
                <w:highlight w:val="none"/>
              </w:rPr>
            </w:pPr>
          </w:p>
        </w:tc>
        <w:tc>
          <w:tcPr>
            <w:tcW w:w="6589" w:type="dxa"/>
            <w:noWrap w:val="0"/>
            <w:vAlign w:val="center"/>
          </w:tcPr>
          <w:p w14:paraId="08A7E12D">
            <w:pPr>
              <w:jc w:val="left"/>
              <w:rPr>
                <w:rFonts w:hint="eastAsia"/>
                <w:color w:val="auto"/>
                <w:highlight w:val="none"/>
              </w:rPr>
            </w:pPr>
            <w:r>
              <w:rPr>
                <w:rFonts w:hint="eastAsia"/>
                <w:color w:val="auto"/>
                <w:highlight w:val="none"/>
              </w:rPr>
              <w:t>管理心理健康热线服务模块。</w:t>
            </w:r>
          </w:p>
        </w:tc>
      </w:tr>
      <w:tr w14:paraId="341D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785101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518" w:type="dxa"/>
            <w:noWrap w:val="0"/>
            <w:vAlign w:val="center"/>
          </w:tcPr>
          <w:p w14:paraId="111BD9C9">
            <w:pPr>
              <w:jc w:val="center"/>
              <w:rPr>
                <w:color w:val="auto"/>
                <w:highlight w:val="none"/>
              </w:rPr>
            </w:pPr>
            <w:r>
              <w:rPr>
                <w:rFonts w:hint="eastAsia" w:ascii="宋体" w:hAnsi="宋体" w:cs="仿宋"/>
                <w:color w:val="auto"/>
                <w:highlight w:val="none"/>
              </w:rPr>
              <w:t>带宽需求</w:t>
            </w:r>
          </w:p>
        </w:tc>
        <w:tc>
          <w:tcPr>
            <w:tcW w:w="6589" w:type="dxa"/>
            <w:noWrap w:val="0"/>
            <w:vAlign w:val="center"/>
          </w:tcPr>
          <w:p w14:paraId="7CB520AF">
            <w:pPr>
              <w:jc w:val="left"/>
              <w:rPr>
                <w:rFonts w:hint="eastAsia"/>
                <w:color w:val="auto"/>
                <w:highlight w:val="none"/>
              </w:rPr>
            </w:pPr>
            <w:r>
              <w:rPr>
                <w:rFonts w:hint="eastAsia"/>
                <w:color w:val="auto"/>
                <w:highlight w:val="none"/>
              </w:rPr>
              <w:t>带宽动态50M以上</w:t>
            </w:r>
          </w:p>
        </w:tc>
      </w:tr>
      <w:tr w14:paraId="73C4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589A41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518" w:type="dxa"/>
            <w:noWrap w:val="0"/>
            <w:vAlign w:val="center"/>
          </w:tcPr>
          <w:p w14:paraId="5E54A81F">
            <w:pPr>
              <w:jc w:val="center"/>
              <w:rPr>
                <w:color w:val="auto"/>
                <w:highlight w:val="none"/>
              </w:rPr>
            </w:pPr>
            <w:r>
              <w:rPr>
                <w:rFonts w:hint="eastAsia" w:ascii="宋体" w:hAnsi="宋体" w:cs="仿宋"/>
                <w:color w:val="auto"/>
                <w:highlight w:val="none"/>
              </w:rPr>
              <w:t>系统稳定性和响应时间需求</w:t>
            </w:r>
          </w:p>
        </w:tc>
        <w:tc>
          <w:tcPr>
            <w:tcW w:w="6589" w:type="dxa"/>
            <w:noWrap w:val="0"/>
            <w:vAlign w:val="center"/>
          </w:tcPr>
          <w:p w14:paraId="5352A2DA">
            <w:pPr>
              <w:jc w:val="left"/>
              <w:rPr>
                <w:rFonts w:hint="eastAsia"/>
                <w:color w:val="auto"/>
                <w:highlight w:val="none"/>
              </w:rPr>
            </w:pPr>
            <w:r>
              <w:rPr>
                <w:rFonts w:hint="eastAsia"/>
                <w:color w:val="auto"/>
                <w:highlight w:val="none"/>
              </w:rPr>
              <w:t>系统总体可用率&gt;99.7%；</w:t>
            </w:r>
          </w:p>
          <w:p w14:paraId="1B51CB46">
            <w:pPr>
              <w:jc w:val="left"/>
              <w:rPr>
                <w:rFonts w:hint="eastAsia"/>
                <w:color w:val="auto"/>
                <w:highlight w:val="none"/>
              </w:rPr>
            </w:pPr>
            <w:r>
              <w:rPr>
                <w:rFonts w:hint="eastAsia"/>
                <w:color w:val="auto"/>
                <w:highlight w:val="none"/>
              </w:rPr>
              <w:t>数据库应用可用率&gt;=99.8%；</w:t>
            </w:r>
          </w:p>
          <w:p w14:paraId="1ED0CCCE">
            <w:pPr>
              <w:jc w:val="left"/>
              <w:rPr>
                <w:rFonts w:hint="eastAsia"/>
                <w:color w:val="auto"/>
                <w:highlight w:val="none"/>
              </w:rPr>
            </w:pPr>
            <w:r>
              <w:rPr>
                <w:rFonts w:hint="eastAsia"/>
                <w:color w:val="auto"/>
                <w:highlight w:val="none"/>
              </w:rPr>
              <w:t>WEB应用可用率&gt;=99.8%（或7×24小时不间断运行）。</w:t>
            </w:r>
          </w:p>
        </w:tc>
      </w:tr>
      <w:tr w14:paraId="4463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7377D4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518" w:type="dxa"/>
            <w:noWrap w:val="0"/>
            <w:vAlign w:val="center"/>
          </w:tcPr>
          <w:p w14:paraId="2C13360E">
            <w:pPr>
              <w:jc w:val="center"/>
              <w:rPr>
                <w:color w:val="auto"/>
                <w:highlight w:val="none"/>
              </w:rPr>
            </w:pPr>
            <w:r>
              <w:rPr>
                <w:color w:val="auto"/>
                <w:highlight w:val="none"/>
              </w:rPr>
              <w:t>▲</w:t>
            </w:r>
            <w:r>
              <w:rPr>
                <w:rFonts w:hint="eastAsia" w:ascii="宋体" w:hAnsi="宋体" w:cs="仿宋"/>
                <w:color w:val="auto"/>
                <w:highlight w:val="none"/>
              </w:rPr>
              <w:t>响应时间需求</w:t>
            </w:r>
          </w:p>
        </w:tc>
        <w:tc>
          <w:tcPr>
            <w:tcW w:w="6589" w:type="dxa"/>
            <w:noWrap w:val="0"/>
            <w:vAlign w:val="center"/>
          </w:tcPr>
          <w:p w14:paraId="44B68E18">
            <w:pPr>
              <w:jc w:val="left"/>
              <w:rPr>
                <w:rFonts w:hint="eastAsia"/>
                <w:color w:val="auto"/>
                <w:highlight w:val="none"/>
              </w:rPr>
            </w:pPr>
            <w:r>
              <w:rPr>
                <w:rFonts w:hint="eastAsia"/>
                <w:color w:val="auto"/>
                <w:highlight w:val="none"/>
              </w:rPr>
              <w:t>系统查看页面最大不超过3秒，平均时间在1～2秒以内；</w:t>
            </w:r>
          </w:p>
          <w:p w14:paraId="074CC0E9">
            <w:pPr>
              <w:jc w:val="left"/>
              <w:rPr>
                <w:rFonts w:hint="eastAsia"/>
                <w:color w:val="auto"/>
                <w:highlight w:val="none"/>
              </w:rPr>
            </w:pPr>
            <w:r>
              <w:rPr>
                <w:rFonts w:hint="eastAsia"/>
                <w:color w:val="auto"/>
                <w:highlight w:val="none"/>
              </w:rPr>
              <w:t>服务接口响应最大不超过5秒，平均时间在2～3秒以内；</w:t>
            </w:r>
          </w:p>
          <w:p w14:paraId="152EB0A0">
            <w:pPr>
              <w:jc w:val="left"/>
              <w:rPr>
                <w:rFonts w:hint="eastAsia"/>
                <w:color w:val="auto"/>
                <w:highlight w:val="none"/>
              </w:rPr>
            </w:pPr>
            <w:r>
              <w:rPr>
                <w:rFonts w:hint="eastAsia"/>
                <w:color w:val="auto"/>
                <w:highlight w:val="none"/>
              </w:rPr>
              <w:t>业务办理页面最大不超过5秒，平均时间在2～3秒以内；</w:t>
            </w:r>
          </w:p>
          <w:p w14:paraId="58EF66DB">
            <w:pPr>
              <w:jc w:val="left"/>
              <w:rPr>
                <w:rFonts w:hint="eastAsia"/>
                <w:color w:val="auto"/>
                <w:highlight w:val="none"/>
              </w:rPr>
            </w:pPr>
            <w:r>
              <w:rPr>
                <w:rFonts w:hint="eastAsia"/>
                <w:color w:val="auto"/>
                <w:highlight w:val="none"/>
              </w:rPr>
              <w:t>统计页面最大不超过15秒，平均在5～10秒以内。</w:t>
            </w:r>
          </w:p>
        </w:tc>
      </w:tr>
      <w:tr w14:paraId="1E03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7A8EAF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518" w:type="dxa"/>
            <w:noWrap w:val="0"/>
            <w:vAlign w:val="center"/>
          </w:tcPr>
          <w:p w14:paraId="28C8C52C">
            <w:pPr>
              <w:jc w:val="center"/>
              <w:rPr>
                <w:rFonts w:hint="eastAsia" w:ascii="宋体" w:hAnsi="宋体" w:cs="仿宋"/>
                <w:color w:val="auto"/>
                <w:highlight w:val="none"/>
              </w:rPr>
            </w:pPr>
            <w:r>
              <w:rPr>
                <w:rFonts w:hint="eastAsia" w:ascii="宋体" w:hAnsi="宋体" w:cs="仿宋"/>
                <w:color w:val="auto"/>
                <w:highlight w:val="none"/>
              </w:rPr>
              <w:t>安全性需求</w:t>
            </w:r>
          </w:p>
        </w:tc>
        <w:tc>
          <w:tcPr>
            <w:tcW w:w="6589" w:type="dxa"/>
            <w:noWrap w:val="0"/>
            <w:vAlign w:val="center"/>
          </w:tcPr>
          <w:p w14:paraId="2EC1E1C0">
            <w:pPr>
              <w:jc w:val="left"/>
              <w:rPr>
                <w:rFonts w:hint="eastAsia"/>
                <w:color w:val="FF0000"/>
                <w:highlight w:val="none"/>
              </w:rPr>
            </w:pPr>
            <w:r>
              <w:rPr>
                <w:rFonts w:hint="eastAsia" w:ascii="Times New Roman" w:hAnsi="Times New Roman" w:eastAsia="宋体" w:cs="Times New Roman"/>
                <w:color w:val="000000" w:themeColor="text1"/>
                <w:highlight w:val="none"/>
                <w14:textFill>
                  <w14:solidFill>
                    <w14:schemeClr w14:val="tx1"/>
                  </w14:solidFill>
                </w14:textFill>
              </w:rPr>
              <w:t>1、备份机制为服务环境提供全面的容灾保护，覆盖数据库及</w:t>
            </w:r>
            <w:r>
              <w:rPr>
                <w:rFonts w:hint="eastAsia" w:cs="Times New Roman"/>
                <w:color w:val="000000" w:themeColor="text1"/>
                <w:highlight w:val="none"/>
                <w:lang w:val="en-US" w:eastAsia="zh-CN"/>
                <w14:textFill>
                  <w14:solidFill>
                    <w14:schemeClr w14:val="tx1"/>
                  </w14:solidFill>
                </w14:textFill>
              </w:rPr>
              <w:t>主要业务</w:t>
            </w:r>
            <w:r>
              <w:rPr>
                <w:rFonts w:hint="eastAsia" w:ascii="Times New Roman" w:hAnsi="Times New Roman" w:eastAsia="宋体" w:cs="Times New Roman"/>
                <w:color w:val="000000" w:themeColor="text1"/>
                <w:highlight w:val="none"/>
                <w14:textFill>
                  <w14:solidFill>
                    <w14:schemeClr w14:val="tx1"/>
                  </w14:solidFill>
                </w14:textFill>
              </w:rPr>
              <w:t>服务。2、可以每天全量备份、每小时增量备份，以及数据库主从复制，确保数据库数据的实时同步和安全存储。3、能保证数据在崩溃时可快速恢复。</w:t>
            </w:r>
          </w:p>
        </w:tc>
      </w:tr>
    </w:tbl>
    <w:p w14:paraId="4F65F34F">
      <w:pPr>
        <w:jc w:val="center"/>
        <w:rPr>
          <w:rFonts w:hint="eastAsia"/>
          <w:b/>
          <w:bCs/>
          <w:sz w:val="36"/>
          <w:szCs w:val="36"/>
          <w:lang w:val="en-US" w:eastAsia="zh-CN"/>
        </w:rPr>
      </w:pPr>
    </w:p>
    <w:p w14:paraId="4845548C">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4E55380F">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5052A3D0">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9724</Words>
  <Characters>10019</Characters>
  <Lines>0</Lines>
  <Paragraphs>0</Paragraphs>
  <TotalTime>7</TotalTime>
  <ScaleCrop>false</ScaleCrop>
  <LinksUpToDate>false</LinksUpToDate>
  <CharactersWithSpaces>11001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2024-10-08T08:37:59Z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