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多功能氦氖激光治疗机采购项目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鄂东医疗集团市妇幼保健院就多功能氦氖激光治疗机采购项目采用竞争性谈判的方式招标采购，欢迎有符合条件的供应商前来投标。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项目名称：多功能氦氖激光治疗机采购项目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预算金额：7万元整（供应商报价超过预算金额的视为无效响应）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数量：2台套；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五、报名时间：2021年5月21日-2021年5月24日（上午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六、标书递交截止时间及开标时间：2021年5月25日下午15：30；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2021年5月21日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6"/>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2563"/>
        <w:gridCol w:w="1845"/>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563" w:type="dxa"/>
            <w:noWrap w:val="0"/>
            <w:vAlign w:val="center"/>
          </w:tcPr>
          <w:p>
            <w:pPr>
              <w:adjustRightInd w:val="0"/>
              <w:snapToGrid w:val="0"/>
              <w:jc w:val="left"/>
              <w:rPr>
                <w:rFonts w:hint="eastAsia" w:ascii="宋体" w:hAnsi="宋体" w:eastAsia="宋体"/>
                <w:szCs w:val="21"/>
                <w:lang w:eastAsia="zh-CN"/>
              </w:rPr>
            </w:pPr>
            <w:r>
              <w:rPr>
                <w:rFonts w:hint="eastAsia" w:ascii="宋体" w:hAnsi="宋体" w:cs="宋体"/>
                <w:i w:val="0"/>
                <w:color w:val="000000"/>
                <w:kern w:val="0"/>
                <w:sz w:val="22"/>
                <w:szCs w:val="22"/>
                <w:u w:val="none"/>
                <w:lang w:val="en-US" w:eastAsia="zh-CN" w:bidi="ar"/>
              </w:rPr>
              <w:t xml:space="preserve">多功能氦氖激光治疗机 </w:t>
            </w:r>
          </w:p>
        </w:tc>
        <w:tc>
          <w:tcPr>
            <w:tcW w:w="1845" w:type="dxa"/>
            <w:noWrap w:val="0"/>
            <w:vAlign w:val="center"/>
          </w:tcPr>
          <w:p>
            <w:pPr>
              <w:adjustRightInd w:val="0"/>
              <w:snapToGrid w:val="0"/>
              <w:ind w:firstLine="632" w:firstLineChars="300"/>
              <w:jc w:val="left"/>
              <w:rPr>
                <w:rFonts w:hint="eastAsia" w:ascii="宋体" w:hAnsi="宋体"/>
                <w:b/>
                <w:szCs w:val="21"/>
              </w:rPr>
            </w:pPr>
            <w:r>
              <w:rPr>
                <w:rFonts w:hint="eastAsia" w:ascii="宋体" w:hAnsi="宋体"/>
                <w:b/>
                <w:szCs w:val="21"/>
              </w:rPr>
              <w:t>数量</w:t>
            </w:r>
          </w:p>
        </w:tc>
        <w:tc>
          <w:tcPr>
            <w:tcW w:w="3516" w:type="dxa"/>
            <w:noWrap w:val="0"/>
            <w:vAlign w:val="center"/>
          </w:tcPr>
          <w:p>
            <w:pPr>
              <w:adjustRightInd w:val="0"/>
              <w:snapToGrid w:val="0"/>
              <w:ind w:left="195" w:firstLine="843" w:firstLineChars="400"/>
              <w:jc w:val="left"/>
              <w:rPr>
                <w:rFonts w:hint="eastAsia" w:ascii="宋体" w:hAnsi="宋体" w:eastAsiaTheme="minorEastAsia"/>
                <w:b/>
                <w:szCs w:val="21"/>
                <w:lang w:val="en-US" w:eastAsia="zh-CN"/>
              </w:rPr>
            </w:pPr>
            <w:r>
              <w:rPr>
                <w:rFonts w:hint="eastAsia" w:ascii="宋体" w:hAnsi="宋体"/>
                <w:b/>
                <w:szCs w:val="21"/>
              </w:rPr>
              <w:t xml:space="preserve"> </w:t>
            </w:r>
            <w:r>
              <w:rPr>
                <w:rFonts w:hint="eastAsia" w:ascii="宋体" w:hAnsi="宋体"/>
                <w:b/>
                <w:szCs w:val="21"/>
                <w:lang w:val="en-US" w:eastAsia="zh-CN"/>
              </w:rPr>
              <w:t>2台套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00" w:type="dxa"/>
            <w:gridSpan w:val="2"/>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5361" w:type="dxa"/>
            <w:gridSpan w:val="2"/>
            <w:noWrap w:val="0"/>
            <w:vAlign w:val="center"/>
          </w:tcPr>
          <w:p>
            <w:pPr>
              <w:adjustRightInd w:val="0"/>
              <w:snapToGrid w:val="0"/>
              <w:ind w:firstLine="2310" w:firstLineChars="1100"/>
              <w:jc w:val="both"/>
              <w:rPr>
                <w:rFonts w:hint="default" w:ascii="宋体" w:hAnsi="宋体" w:eastAsia="宋体"/>
                <w:szCs w:val="21"/>
                <w:lang w:val="en-US" w:eastAsia="zh-CN"/>
              </w:rPr>
            </w:pPr>
            <w:r>
              <w:rPr>
                <w:rFonts w:hint="eastAsia" w:ascii="宋体" w:hAnsi="宋体" w:eastAsia="宋体"/>
                <w:szCs w:val="21"/>
                <w:lang w:val="en-US" w:eastAsia="zh-CN"/>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61" w:type="dxa"/>
            <w:gridSpan w:val="4"/>
            <w:noWrap w:val="0"/>
            <w:vAlign w:val="top"/>
          </w:tcPr>
          <w:p>
            <w:pPr>
              <w:widowControl/>
              <w:jc w:val="left"/>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配置</w:t>
            </w:r>
            <w:r>
              <w:rPr>
                <w:rFonts w:hint="eastAsia" w:ascii="宋体" w:hAnsi="宋体" w:eastAsia="宋体" w:cs="宋体"/>
                <w:b/>
                <w:sz w:val="21"/>
                <w:szCs w:val="21"/>
              </w:rPr>
              <w:t>要求：</w:t>
            </w:r>
            <w:r>
              <w:rPr>
                <w:rFonts w:hint="eastAsia" w:ascii="宋体" w:hAnsi="宋体" w:eastAsia="宋体" w:cs="宋体"/>
                <w:b/>
                <w:sz w:val="21"/>
                <w:szCs w:val="21"/>
                <w:lang w:val="en-US" w:eastAsia="zh-CN"/>
              </w:rPr>
              <w:t xml:space="preserve"> </w:t>
            </w:r>
          </w:p>
          <w:tbl>
            <w:tblPr>
              <w:tblStyle w:val="6"/>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要求：</w:t>
                  </w:r>
                  <w:r>
                    <w:rPr>
                      <w:rFonts w:hint="eastAsia" w:ascii="宋体" w:hAnsi="宋体" w:eastAsia="宋体" w:cs="宋体"/>
                      <w:sz w:val="21"/>
                      <w:szCs w:val="21"/>
                    </w:rPr>
                    <w:t>在临床医院的眼科及眼科专业医院有100台以上设备在使用</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功用：主要用于</w:t>
                  </w:r>
                  <w:r>
                    <w:rPr>
                      <w:rFonts w:hint="eastAsia" w:ascii="宋体" w:hAnsi="宋体" w:eastAsia="宋体" w:cs="宋体"/>
                      <w:sz w:val="21"/>
                      <w:szCs w:val="21"/>
                    </w:rPr>
                    <w:t>组织炎症</w:t>
                  </w:r>
                  <w:r>
                    <w:rPr>
                      <w:rFonts w:hint="eastAsia" w:ascii="宋体" w:hAnsi="宋体" w:eastAsia="宋体" w:cs="宋体"/>
                      <w:sz w:val="21"/>
                      <w:szCs w:val="21"/>
                      <w:lang w:eastAsia="zh-CN"/>
                    </w:rPr>
                    <w:t>治疗，具有</w:t>
                  </w:r>
                  <w:r>
                    <w:rPr>
                      <w:rFonts w:hint="eastAsia" w:ascii="宋体" w:hAnsi="宋体" w:eastAsia="宋体" w:cs="宋体"/>
                      <w:sz w:val="21"/>
                      <w:szCs w:val="21"/>
                    </w:rPr>
                    <w:t>抗感染、修复、镇痛、生物刺激作用</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配置清单：</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1、主机：1台；</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2、单路输出外照光纤耦合器：1根，要求转换率≥78%；</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3、自由度关节臂：1付，要求不少于5关节；</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4、保险管：2根；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5、电源线：1根，要求</w:t>
                  </w:r>
                  <w:r>
                    <w:rPr>
                      <w:rFonts w:hint="eastAsia" w:ascii="宋体" w:hAnsi="宋体" w:eastAsia="宋体" w:cs="宋体"/>
                      <w:i w:val="0"/>
                      <w:iCs w:val="0"/>
                      <w:color w:val="000000"/>
                      <w:kern w:val="0"/>
                      <w:sz w:val="21"/>
                      <w:szCs w:val="21"/>
                      <w:u w:val="none"/>
                      <w:lang w:val="en-US" w:eastAsia="zh-CN" w:bidi="ar"/>
                    </w:rPr>
                    <w:t>带屏蔽电源线。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pPr>
              <w:widowControl/>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4"/>
            <w:noWrap w:val="0"/>
            <w:vAlign w:val="top"/>
          </w:tcPr>
          <w:p>
            <w:pPr>
              <w:adjustRightInd w:val="0"/>
              <w:snapToGrid w:val="0"/>
              <w:rPr>
                <w:rFonts w:hint="eastAsia" w:ascii="宋体" w:hAnsi="宋体" w:eastAsia="宋体" w:cs="宋体"/>
                <w:b/>
                <w:color w:val="000000"/>
                <w:sz w:val="21"/>
                <w:szCs w:val="21"/>
              </w:rPr>
            </w:pPr>
            <w:r>
              <w:rPr>
                <w:rFonts w:hint="eastAsia" w:ascii="宋体" w:hAnsi="宋体" w:eastAsia="宋体" w:cs="宋体"/>
                <w:b/>
                <w:color w:val="000000"/>
                <w:sz w:val="21"/>
                <w:szCs w:val="21"/>
              </w:rPr>
              <w:t>技术参数</w:t>
            </w:r>
            <w:r>
              <w:rPr>
                <w:rFonts w:hint="eastAsia" w:ascii="宋体" w:hAnsi="宋体" w:eastAsia="宋体" w:cs="宋体"/>
                <w:b/>
                <w:i w:val="0"/>
                <w:color w:val="000000"/>
                <w:kern w:val="0"/>
                <w:sz w:val="21"/>
                <w:szCs w:val="21"/>
                <w:u w:val="none"/>
                <w:lang w:val="en-US" w:eastAsia="zh-CN" w:bidi="ar"/>
              </w:rPr>
              <w:t>（※作论证依据，请详细注明）</w:t>
            </w:r>
            <w:r>
              <w:rPr>
                <w:rFonts w:hint="eastAsia" w:ascii="宋体" w:hAnsi="宋体" w:eastAsia="宋体" w:cs="宋体"/>
                <w:b/>
                <w:color w:val="000000"/>
                <w:sz w:val="21"/>
                <w:szCs w:val="21"/>
              </w:rPr>
              <w:t>：</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激光波长</w:t>
            </w:r>
            <w:r>
              <w:rPr>
                <w:rFonts w:hint="eastAsia" w:ascii="宋体" w:hAnsi="宋体" w:eastAsia="宋体" w:cs="宋体"/>
                <w:sz w:val="21"/>
                <w:szCs w:val="21"/>
                <w:lang w:eastAsia="zh-CN"/>
              </w:rPr>
              <w:t>：</w:t>
            </w:r>
            <w:r>
              <w:rPr>
                <w:rFonts w:hint="eastAsia" w:ascii="宋体" w:hAnsi="宋体" w:eastAsia="宋体" w:cs="宋体"/>
                <w:sz w:val="21"/>
                <w:szCs w:val="21"/>
              </w:rPr>
              <w:t>0.6328μm；</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激光管：硬封低阶模激光管；</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额定激光功率：5mW（单管）；</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电源：220v，50Hz；</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控制方式：时间控制，0～99分钟；</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激光输出通道数：2路；</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输出方式：单路输出外照光纤耦合器；</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终端激光功率不稳定度：±5%；</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终端激光功率复现性：±5% ；</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光纤</w:t>
            </w:r>
            <w:r>
              <w:rPr>
                <w:rFonts w:hint="eastAsia" w:ascii="宋体" w:hAnsi="宋体" w:eastAsia="宋体" w:cs="宋体"/>
                <w:sz w:val="21"/>
                <w:szCs w:val="21"/>
                <w:lang w:eastAsia="zh-CN"/>
              </w:rPr>
              <w:t>：</w:t>
            </w:r>
            <w:r>
              <w:rPr>
                <w:rFonts w:hint="eastAsia" w:ascii="宋体" w:hAnsi="宋体" w:eastAsia="宋体" w:cs="宋体"/>
                <w:sz w:val="21"/>
                <w:szCs w:val="21"/>
              </w:rPr>
              <w:t>带</w:t>
            </w:r>
            <w:r>
              <w:rPr>
                <w:rFonts w:hint="eastAsia" w:ascii="宋体" w:hAnsi="宋体" w:eastAsia="宋体" w:cs="宋体"/>
                <w:sz w:val="21"/>
                <w:szCs w:val="21"/>
                <w:lang w:eastAsia="zh-CN"/>
              </w:rPr>
              <w:t>不少于</w:t>
            </w:r>
            <w:r>
              <w:rPr>
                <w:rFonts w:hint="eastAsia" w:ascii="宋体" w:hAnsi="宋体" w:eastAsia="宋体" w:cs="宋体"/>
                <w:sz w:val="21"/>
                <w:szCs w:val="21"/>
              </w:rPr>
              <w:t>五关节光纤支架</w:t>
            </w:r>
            <w:r>
              <w:rPr>
                <w:rFonts w:hint="eastAsia" w:ascii="宋体" w:hAnsi="宋体" w:eastAsia="宋体" w:cs="宋体"/>
                <w:sz w:val="21"/>
                <w:szCs w:val="21"/>
                <w:lang w:eastAsia="zh-CN"/>
              </w:rPr>
              <w:t>，</w:t>
            </w:r>
            <w:r>
              <w:rPr>
                <w:rFonts w:hint="eastAsia" w:ascii="宋体" w:hAnsi="宋体" w:eastAsia="宋体" w:cs="宋体"/>
                <w:sz w:val="21"/>
                <w:szCs w:val="21"/>
              </w:rPr>
              <w:t>输出光斑大小和方向根据需要可调；</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光纤转换效率：≥78%</w:t>
            </w:r>
            <w:r>
              <w:rPr>
                <w:rFonts w:hint="eastAsia" w:ascii="宋体" w:hAnsi="宋体" w:eastAsia="宋体" w:cs="宋体"/>
                <w:sz w:val="21"/>
                <w:szCs w:val="21"/>
                <w:lang w:eastAsia="zh-CN"/>
              </w:rPr>
              <w:t>；</w:t>
            </w:r>
          </w:p>
          <w:p>
            <w:pPr>
              <w:keepNext w:val="0"/>
              <w:keepLines w:val="0"/>
              <w:widowControl/>
              <w:numPr>
                <w:ilvl w:val="0"/>
                <w:numId w:val="2"/>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网电源：AC220v，≤100W。</w:t>
            </w:r>
          </w:p>
          <w:p>
            <w:pPr>
              <w:keepNext w:val="0"/>
              <w:keepLines w:val="0"/>
              <w:widowControl/>
              <w:numPr>
                <w:ilvl w:val="0"/>
                <w:numId w:val="0"/>
              </w:numPr>
              <w:suppressLineNumbers w:val="0"/>
              <w:jc w:val="left"/>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4"/>
            <w:noWrap w:val="0"/>
            <w:vAlign w:val="top"/>
          </w:tcPr>
          <w:p>
            <w:pP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培训、售后要求：</w:t>
            </w:r>
          </w:p>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质保≥3年；提供现场培训；如遇故障2小时响应，24小时到达现场维修；光纤及主要零配件价格纳入合同。</w:t>
            </w:r>
          </w:p>
        </w:tc>
      </w:tr>
    </w:tbl>
    <w:p>
      <w:pPr>
        <w:jc w:val="center"/>
        <w:rPr>
          <w:rFonts w:hint="eastAsia"/>
          <w:b/>
          <w:bCs/>
          <w:sz w:val="36"/>
          <w:szCs w:val="36"/>
          <w:lang w:val="en-US" w:eastAsia="zh-CN"/>
        </w:rPr>
      </w:pPr>
      <w:bookmarkStart w:id="0" w:name="_GoBack"/>
      <w:bookmarkEnd w:id="0"/>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C5752553"/>
    <w:multiLevelType w:val="singleLevel"/>
    <w:tmpl w:val="C5752553"/>
    <w:lvl w:ilvl="0" w:tentative="0">
      <w:start w:val="12"/>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2A71"/>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8D0985"/>
    <w:rsid w:val="5DFE1FFE"/>
    <w:rsid w:val="5EA36CE4"/>
    <w:rsid w:val="5F0677D9"/>
    <w:rsid w:val="5F104785"/>
    <w:rsid w:val="5F305772"/>
    <w:rsid w:val="5F6665A4"/>
    <w:rsid w:val="5FAE5B2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9860F5"/>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2021-05-21T01:43:36Z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