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val="en-US" w:eastAsia="zh-CN"/>
        </w:rPr>
        <w:t>心里云平台采购项目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50401E84">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心里云平台采购项目采用竞争性谈判的方式招标采购，欢迎有符合条件的供应商前来投标。</w:t>
      </w:r>
      <w:bookmarkStart w:id="42" w:name="_GoBack"/>
      <w:bookmarkEnd w:id="42"/>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1.项目名称：心里云平台采购项目；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2.预算金额：2万元/年（</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  月  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  月  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470172671"/>
      <w:bookmarkStart w:id="9" w:name="_Toc3176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093380C7">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4AC20AF6">
      <w:pPr>
        <w:ind w:firstLine="420" w:firstLineChars="0"/>
        <w:jc w:val="left"/>
        <w:rPr>
          <w:rFonts w:hint="default"/>
          <w:sz w:val="28"/>
          <w:szCs w:val="28"/>
          <w:lang w:val="en-US" w:eastAsia="zh-CN"/>
        </w:rPr>
      </w:pPr>
      <w:r>
        <w:rPr>
          <w:rFonts w:hint="eastAsia"/>
          <w:sz w:val="28"/>
          <w:szCs w:val="28"/>
          <w:lang w:val="en-US" w:eastAsia="zh-CN"/>
        </w:rPr>
        <w:t>对黄石市妇幼保健院三号楼的院内网络设施进行改造，包括三号楼二楼机房、三号楼家属楼机房设备的更新与调试，三号楼会议室新增网点的网线铺设，楼宇之间的光纤铺设熔接等内容。</w:t>
      </w:r>
    </w:p>
    <w:p w14:paraId="5A8EB93E"/>
    <w:tbl>
      <w:tblPr>
        <w:tblStyle w:val="9"/>
        <w:tblW w:w="8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1020"/>
        <w:gridCol w:w="4050"/>
        <w:gridCol w:w="1079"/>
        <w:gridCol w:w="1079"/>
      </w:tblGrid>
      <w:tr w14:paraId="65E5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597F16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321A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3D5492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2F530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D5658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47A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10EF7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3E1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035EA4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交换容量≥2.56T，包转发率≥1620Mpps</w:t>
            </w:r>
          </w:p>
          <w:p w14:paraId="2B54D1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支持48个万兆SFP+，6个40GE QSFP+</w:t>
            </w:r>
          </w:p>
          <w:p w14:paraId="467F0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3、为了提高设备可靠性，支持可插拔的双电源</w:t>
            </w:r>
          </w:p>
          <w:p w14:paraId="0D319F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为了提高设备散热性能，支持可插拔风扇框，风扇框个数≥4</w:t>
            </w:r>
          </w:p>
          <w:p w14:paraId="4E536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5、支持4K个VLAN，支持Guest VLAN、Voice VLAN，支持基于MAC/协议/IP子网/策略/端口的VLAN</w:t>
            </w:r>
          </w:p>
          <w:p w14:paraId="6FAEC2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6、支持静态路由、RIP V1/2、OSPF、IS-IS、BGP、RIPng、OSPFv3、BGP4+、ISISv6</w:t>
            </w:r>
          </w:p>
          <w:p w14:paraId="4457C2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 VXLAN 特性，支持集中式网关和分布式网关部署方式，支持 BGP-EVPN 协议实现 VXLAN 隧道动态建立，并且可以通过 Netconf/ANG 进行配置。</w:t>
            </w:r>
          </w:p>
          <w:p w14:paraId="3A793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支持横向堆叠，将多台支持堆叠特性的交换机组合在一起，从逻辑上组合成一台虚拟交换机。</w:t>
            </w:r>
          </w:p>
          <w:p w14:paraId="01E41B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9、支持SNMPv1/v2c/v3，支持RMON，支持网管系统、支持WEB网管特性，支持NetStream</w:t>
            </w:r>
          </w:p>
          <w:p w14:paraId="644A18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支持真实业务流实时检测技术，能实时检测网络故障</w:t>
            </w:r>
          </w:p>
          <w:p w14:paraId="77D468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11、提供工信部进网证</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A715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A99D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A7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7CE52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B9F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万兆上链48口接入交换机</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6F92382B">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1、▲交换容量≥672Gbps，包转发率≥207Mpps</w:t>
            </w:r>
          </w:p>
          <w:p w14:paraId="6C6353B8">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2、▲支持48个10/100/1000BASE-T以太网端口,4个万兆SFP+,2个12GE专用堆叠口</w:t>
            </w:r>
          </w:p>
          <w:p w14:paraId="0B4D03EE">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3、▲支持专用堆叠口，不占用业务口带宽，堆叠带宽（双向）＞40Gbps</w:t>
            </w:r>
          </w:p>
          <w:p w14:paraId="02DF5CF9">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4、▲CPU和转发芯片要求国产化，提供国产测试报告，推动自主可控</w:t>
            </w:r>
          </w:p>
          <w:p w14:paraId="66634C3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5、设备支持复位按钮和清配置按钮（PNP）</w:t>
            </w:r>
          </w:p>
          <w:p w14:paraId="364041EB">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6、支持ID指示灯，维护人员可以在后台点亮后去机房直接找到相对于设备，便于快速定位设备位置</w:t>
            </w:r>
          </w:p>
          <w:p w14:paraId="23F5DF4D">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7、▲支持静态路由、RIP、OSPF、RIPng、OSPFv3</w:t>
            </w:r>
          </w:p>
          <w:p w14:paraId="5E7E0E0D">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8、支持G.8032（ERPS）标准以太环网协议</w:t>
            </w:r>
          </w:p>
          <w:p w14:paraId="575EF29B">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9、▲支持堆叠</w:t>
            </w:r>
          </w:p>
          <w:p w14:paraId="44062C7A">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10、"支持SNMP v1/v2/v3、Telnet、RMON、SSHv2</w:t>
            </w:r>
          </w:p>
          <w:p w14:paraId="63F08004">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支持通过命令行、Web、中文图形化配置软件等方式进行配置和管理"</w:t>
            </w:r>
          </w:p>
          <w:p w14:paraId="0A0A010C">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11、支持Telemetry技术，配合网络分析组件通过智能故障识别算法对网络数据进行分析，精准展现网络实时状态，并能及时有效地定界故障以及定位故障发生原因，发现影响用户体验的网络问题，精准保障用户体验</w:t>
            </w:r>
          </w:p>
          <w:p w14:paraId="3625CFE9">
            <w:pPr>
              <w:numPr>
                <w:ilvl w:val="0"/>
                <w:numId w:val="0"/>
              </w:numP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12、提供工信部入网证</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03E0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4C77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291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E55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BC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4C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万兆单模光模块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5C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82E2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590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1C3D9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9A68BEB">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单模</w:t>
            </w:r>
          </w:p>
          <w:p w14:paraId="7C5EA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光纤</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2226330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单模24芯光纤</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3264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D9ED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5516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69B68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0D5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54689B06">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6类非屏蔽低烟无卤网线</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EC6F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DC52A9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r>
      <w:tr w14:paraId="1C07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59539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6F2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1AB83E65">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线缆铺设及设备安装</w:t>
            </w:r>
            <w:r>
              <w:rPr>
                <w:rFonts w:hint="eastAsia" w:ascii="宋体" w:hAnsi="宋体" w:cs="宋体"/>
                <w:i w:val="0"/>
                <w:iCs w:val="0"/>
                <w:color w:val="000000"/>
                <w:kern w:val="0"/>
                <w:sz w:val="24"/>
                <w:szCs w:val="24"/>
                <w:u w:val="none"/>
                <w:lang w:val="en-US" w:eastAsia="zh-CN" w:bidi="ar"/>
              </w:rPr>
              <w:t>调试</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51AA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DE77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06D0AC12"/>
    <w:p w14:paraId="2C443B92">
      <w:pPr>
        <w:jc w:val="center"/>
        <w:rPr>
          <w:rFonts w:hint="eastAsia"/>
          <w:b/>
          <w:bCs/>
          <w:sz w:val="36"/>
          <w:szCs w:val="36"/>
          <w:lang w:val="en-US" w:eastAsia="zh-CN"/>
        </w:rPr>
      </w:pPr>
    </w:p>
    <w:p w14:paraId="4845548C">
      <w:pPr>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119679636"/>
      <w:bookmarkStart w:id="26" w:name="_Toc477032418"/>
      <w:bookmarkStart w:id="27" w:name="_Toc470172707"/>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6470CE0D">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0BF942ED">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24832832"/>
      <w:bookmarkStart w:id="29" w:name="_Toc119679637"/>
      <w:bookmarkStart w:id="30" w:name="_Toc477032420"/>
      <w:bookmarkStart w:id="31" w:name="_Toc432149008"/>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7066</Words>
  <Characters>7508</Characters>
  <Lines>0</Lines>
  <Paragraphs>0</Paragraphs>
  <TotalTime>0</TotalTime>
  <ScaleCrop>false</ScaleCrop>
  <LinksUpToDate>false</LinksUpToDate>
  <CharactersWithSpaces>8519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2024-09-29T07:02:44Z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