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医用艾灸仪采购项目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鄂东医疗集团市妇幼保健院就医用艾灸仪采购项目采用竞争性谈判的方式招标采购，欢迎有符合条件的供应商前来投标。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项目名称：医用艾灸仪采购项目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预算金额：2.2万元整（供应商报价超过预算金额的视为无效响应）</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五、报名时间：2021年4月19 日-2021年4月21日（上午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年4月22日下午15：00；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2021年4月19日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533"/>
        <w:gridCol w:w="765"/>
        <w:gridCol w:w="1110"/>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533" w:type="dxa"/>
            <w:noWrap w:val="0"/>
            <w:vAlign w:val="center"/>
          </w:tcPr>
          <w:p>
            <w:pPr>
              <w:adjustRightInd w:val="0"/>
              <w:snapToGrid w:val="0"/>
              <w:ind w:firstLine="420" w:firstLineChars="200"/>
              <w:jc w:val="left"/>
              <w:rPr>
                <w:rFonts w:hint="eastAsia" w:ascii="宋体" w:hAnsi="宋体" w:eastAsia="宋体"/>
                <w:szCs w:val="21"/>
                <w:lang w:eastAsia="zh-CN"/>
              </w:rPr>
            </w:pPr>
            <w:r>
              <w:rPr>
                <w:rFonts w:hint="eastAsia" w:ascii="宋体" w:hAnsi="宋体" w:eastAsia="宋体"/>
                <w:szCs w:val="21"/>
                <w:lang w:eastAsia="zh-CN"/>
              </w:rPr>
              <w:t>医用艾灸仪</w:t>
            </w:r>
          </w:p>
        </w:tc>
        <w:tc>
          <w:tcPr>
            <w:tcW w:w="1875" w:type="dxa"/>
            <w:gridSpan w:val="2"/>
            <w:noWrap w:val="0"/>
            <w:vAlign w:val="center"/>
          </w:tcPr>
          <w:p>
            <w:pPr>
              <w:adjustRightInd w:val="0"/>
              <w:snapToGrid w:val="0"/>
              <w:jc w:val="left"/>
              <w:rPr>
                <w:rFonts w:hint="eastAsia" w:ascii="宋体" w:hAnsi="宋体"/>
                <w:b/>
                <w:szCs w:val="21"/>
              </w:rPr>
            </w:pPr>
            <w:r>
              <w:rPr>
                <w:rFonts w:hint="eastAsia" w:ascii="宋体" w:hAnsi="宋体"/>
                <w:b/>
                <w:szCs w:val="21"/>
              </w:rPr>
              <w:t>设备原产地</w:t>
            </w:r>
          </w:p>
        </w:tc>
        <w:tc>
          <w:tcPr>
            <w:tcW w:w="3516"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533" w:type="dxa"/>
            <w:noWrap w:val="0"/>
            <w:vAlign w:val="center"/>
          </w:tcPr>
          <w:p>
            <w:pPr>
              <w:adjustRightInd w:val="0"/>
              <w:snapToGrid w:val="0"/>
              <w:ind w:firstLine="630" w:firstLineChars="300"/>
              <w:jc w:val="left"/>
              <w:rPr>
                <w:rFonts w:hint="eastAsia" w:ascii="宋体" w:hAnsi="宋体" w:eastAsia="宋体"/>
                <w:szCs w:val="21"/>
                <w:lang w:eastAsia="zh-CN"/>
              </w:rPr>
            </w:pPr>
          </w:p>
        </w:tc>
        <w:tc>
          <w:tcPr>
            <w:tcW w:w="7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11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 xml:space="preserve"> 1台套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szCs w:val="21"/>
              </w:rPr>
            </w:pPr>
            <w:r>
              <w:rPr>
                <w:rFonts w:hint="eastAsia" w:ascii="宋体" w:hAnsi="宋体" w:cs="宋体"/>
                <w:i w:val="0"/>
                <w:color w:val="000000"/>
                <w:kern w:val="0"/>
                <w:sz w:val="22"/>
                <w:szCs w:val="22"/>
                <w:u w:val="none"/>
                <w:lang w:val="en-US" w:eastAsia="zh-CN" w:bidi="ar"/>
              </w:rPr>
              <w:t>国产；用于温经通络，行气活血，祛湿逐寒，消瘀散结，回阳救逆以及防病治病。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suppressLineNumbers w:val="0"/>
              <w:jc w:val="left"/>
              <w:textAlignment w:val="center"/>
              <w:rPr>
                <w:rFonts w:hint="eastAsia" w:ascii="Arial" w:hAnsi="Arial" w:cs="Arial"/>
                <w:sz w:val="24"/>
              </w:rPr>
            </w:pPr>
            <w:bookmarkStart w:id="0" w:name="_GoBack"/>
            <w:bookmarkEnd w:id="0"/>
          </w:p>
          <w:p>
            <w:pPr>
              <w:keepNext w:val="0"/>
              <w:keepLines w:val="0"/>
              <w:widowControl/>
              <w:suppressLineNumbers w:val="0"/>
              <w:jc w:val="left"/>
              <w:textAlignment w:val="center"/>
              <w:rPr>
                <w:rFonts w:hint="eastAsia" w:ascii="宋体" w:hAnsi="宋体" w:eastAsia="宋体" w:cs="宋体"/>
                <w:color w:val="000000"/>
                <w:sz w:val="21"/>
                <w:szCs w:val="21"/>
                <w:lang w:eastAsia="zh-CN"/>
              </w:rPr>
            </w:pPr>
            <w:r>
              <w:rPr>
                <w:rFonts w:hint="eastAsia" w:ascii="Arial" w:hAnsi="Arial" w:cs="Arial"/>
                <w:sz w:val="24"/>
              </w:rPr>
              <w:t>1、</w:t>
            </w:r>
            <w:r>
              <w:rPr>
                <w:rFonts w:hint="eastAsia" w:ascii="宋体" w:hAnsi="宋体" w:eastAsia="宋体" w:cs="宋体"/>
                <w:color w:val="000000"/>
                <w:sz w:val="21"/>
                <w:szCs w:val="21"/>
              </w:rPr>
              <w:t>额定电压和频率</w:t>
            </w:r>
            <w:r>
              <w:rPr>
                <w:rFonts w:hint="eastAsia" w:ascii="宋体" w:hAnsi="宋体" w:cs="宋体"/>
                <w:color w:val="000000"/>
                <w:sz w:val="21"/>
                <w:szCs w:val="21"/>
                <w:lang w:eastAsia="zh-CN"/>
              </w:rPr>
              <w:t>：220V，50Hz</w:t>
            </w:r>
          </w:p>
          <w:p>
            <w:pPr>
              <w:keepNext w:val="0"/>
              <w:keepLines w:val="0"/>
              <w:widowControl/>
              <w:suppressLineNumbers w:val="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2、输入功率</w:t>
            </w:r>
            <w:r>
              <w:rPr>
                <w:rFonts w:hint="eastAsia" w:ascii="宋体" w:hAnsi="宋体" w:cs="宋体"/>
                <w:color w:val="000000"/>
                <w:sz w:val="21"/>
                <w:szCs w:val="21"/>
                <w:lang w:eastAsia="zh-CN"/>
              </w:rPr>
              <w:t>：</w:t>
            </w:r>
            <w:r>
              <w:rPr>
                <w:rFonts w:hint="eastAsia" w:ascii="宋体" w:hAnsi="宋体" w:cs="宋体"/>
                <w:color w:val="000000"/>
                <w:sz w:val="21"/>
                <w:szCs w:val="21"/>
                <w:lang w:val="en-US" w:eastAsia="zh-CN"/>
              </w:rPr>
              <w:t>5</w:t>
            </w:r>
            <w:r>
              <w:rPr>
                <w:rFonts w:hint="eastAsia" w:ascii="宋体" w:hAnsi="宋体" w:cs="宋体"/>
                <w:color w:val="000000"/>
                <w:sz w:val="21"/>
                <w:szCs w:val="21"/>
                <w:lang w:eastAsia="zh-CN"/>
              </w:rPr>
              <w:t>00VA</w:t>
            </w:r>
          </w:p>
          <w:p>
            <w:pPr>
              <w:keepNext w:val="0"/>
              <w:keepLines w:val="0"/>
              <w:widowControl/>
              <w:suppressLineNumbers w:val="0"/>
              <w:jc w:val="left"/>
              <w:textAlignment w:val="center"/>
              <w:rPr>
                <w:rFonts w:hint="eastAsia" w:ascii="宋体" w:hAnsi="宋体" w:cs="宋体"/>
                <w:color w:val="000000"/>
                <w:sz w:val="21"/>
                <w:szCs w:val="21"/>
                <w:lang w:eastAsia="zh-CN"/>
              </w:rPr>
            </w:pPr>
            <w:r>
              <w:rPr>
                <w:rFonts w:hint="eastAsia" w:ascii="宋体" w:hAnsi="宋体" w:eastAsia="宋体" w:cs="宋体"/>
                <w:color w:val="000000"/>
                <w:sz w:val="21"/>
                <w:szCs w:val="21"/>
              </w:rPr>
              <w:t>3、工作噪声</w:t>
            </w:r>
            <w:r>
              <w:rPr>
                <w:rFonts w:hint="eastAsia" w:ascii="宋体" w:hAnsi="宋体" w:cs="宋体"/>
                <w:color w:val="000000"/>
                <w:sz w:val="21"/>
                <w:szCs w:val="21"/>
                <w:lang w:eastAsia="zh-CN"/>
              </w:rPr>
              <w:t>：≤60dB</w:t>
            </w:r>
          </w:p>
          <w:p>
            <w:pPr>
              <w:keepNext w:val="0"/>
              <w:keepLines w:val="0"/>
              <w:widowControl/>
              <w:suppressLineNumbers w:val="0"/>
              <w:jc w:val="left"/>
              <w:textAlignment w:val="center"/>
              <w:rPr>
                <w:rFonts w:hint="eastAsia" w:ascii="宋体" w:hAnsi="宋体" w:eastAsia="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eastAsia="宋体" w:cs="宋体"/>
                <w:color w:val="000000"/>
                <w:sz w:val="21"/>
                <w:szCs w:val="21"/>
              </w:rPr>
              <w:t>4、治疗时间</w:t>
            </w:r>
            <w:r>
              <w:rPr>
                <w:rFonts w:hint="eastAsia" w:ascii="宋体" w:hAnsi="宋体" w:cs="宋体"/>
                <w:color w:val="000000"/>
                <w:sz w:val="21"/>
                <w:szCs w:val="21"/>
                <w:lang w:eastAsia="zh-CN"/>
              </w:rPr>
              <w:t>：1-60分钟可调，设备连续工作时间≥8小时</w:t>
            </w:r>
          </w:p>
          <w:p>
            <w:pPr>
              <w:keepNext w:val="0"/>
              <w:keepLines w:val="0"/>
              <w:widowControl/>
              <w:numPr>
                <w:ilvl w:val="0"/>
                <w:numId w:val="2"/>
              </w:numPr>
              <w:suppressLineNumbers w:val="0"/>
              <w:jc w:val="left"/>
              <w:textAlignment w:val="center"/>
              <w:rPr>
                <w:rFonts w:hint="eastAsia" w:ascii="宋体" w:hAnsi="宋体" w:cs="宋体"/>
                <w:color w:val="000000"/>
                <w:sz w:val="21"/>
                <w:szCs w:val="21"/>
                <w:lang w:eastAsia="zh-CN"/>
              </w:rPr>
            </w:pPr>
            <w:r>
              <w:rPr>
                <w:rFonts w:hint="eastAsia" w:ascii="宋体" w:hAnsi="宋体" w:eastAsia="宋体" w:cs="宋体"/>
                <w:color w:val="000000"/>
                <w:sz w:val="21"/>
                <w:szCs w:val="21"/>
              </w:rPr>
              <w:t>加热温度</w:t>
            </w:r>
            <w:r>
              <w:rPr>
                <w:rFonts w:hint="eastAsia" w:ascii="宋体" w:hAnsi="宋体" w:cs="宋体"/>
                <w:color w:val="000000"/>
                <w:sz w:val="21"/>
                <w:szCs w:val="21"/>
                <w:lang w:eastAsia="zh-CN"/>
              </w:rPr>
              <w:t>可调：具备</w:t>
            </w:r>
          </w:p>
          <w:p>
            <w:pPr>
              <w:keepNext w:val="0"/>
              <w:keepLines w:val="0"/>
              <w:widowControl/>
              <w:numPr>
                <w:ilvl w:val="0"/>
                <w:numId w:val="0"/>
              </w:numPr>
              <w:suppressLineNumbers w:val="0"/>
              <w:jc w:val="left"/>
              <w:textAlignment w:val="center"/>
              <w:rPr>
                <w:rFonts w:hint="eastAsia" w:ascii="宋体" w:hAnsi="宋体" w:cs="宋体"/>
                <w:color w:val="000000"/>
                <w:sz w:val="21"/>
                <w:szCs w:val="21"/>
                <w:lang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6、</w:t>
            </w:r>
            <w:r>
              <w:rPr>
                <w:rFonts w:hint="eastAsia" w:ascii="宋体" w:hAnsi="宋体" w:cs="宋体"/>
                <w:color w:val="000000"/>
                <w:sz w:val="21"/>
                <w:szCs w:val="21"/>
                <w:lang w:eastAsia="zh-CN"/>
              </w:rPr>
              <w:t>输出温度范围：</w:t>
            </w:r>
            <w:r>
              <w:rPr>
                <w:rFonts w:hint="eastAsia" w:ascii="宋体" w:hAnsi="宋体" w:cs="宋体"/>
                <w:color w:val="000000"/>
                <w:sz w:val="21"/>
                <w:szCs w:val="21"/>
                <w:lang w:val="en-US" w:eastAsia="zh-CN"/>
              </w:rPr>
              <w:t>38-56</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，治疗温度上限值小于60</w:t>
            </w:r>
            <w:r>
              <w:rPr>
                <w:rFonts w:hint="eastAsia" w:ascii="宋体" w:hAnsi="宋体" w:eastAsia="宋体" w:cs="宋体"/>
                <w:color w:val="000000"/>
                <w:sz w:val="21"/>
                <w:szCs w:val="21"/>
                <w:lang w:val="en-US" w:eastAsia="zh-CN"/>
              </w:rPr>
              <w:t>℃</w:t>
            </w:r>
          </w:p>
          <w:p>
            <w:pPr>
              <w:keepNext w:val="0"/>
              <w:keepLines w:val="0"/>
              <w:widowControl/>
              <w:suppressLineNumbers w:val="0"/>
              <w:jc w:val="left"/>
              <w:textAlignment w:val="center"/>
              <w:rPr>
                <w:rFonts w:hint="eastAsia" w:ascii="宋体" w:hAnsi="宋体" w:eastAsia="宋体" w:cs="宋体"/>
                <w:color w:val="000000"/>
                <w:sz w:val="21"/>
                <w:szCs w:val="21"/>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rPr>
              <w:t>、</w:t>
            </w:r>
            <w:r>
              <w:rPr>
                <w:rFonts w:hint="eastAsia" w:ascii="宋体" w:hAnsi="宋体" w:cs="宋体"/>
                <w:color w:val="000000"/>
                <w:sz w:val="21"/>
                <w:szCs w:val="21"/>
                <w:lang w:eastAsia="zh-CN"/>
              </w:rPr>
              <w:t>安全保护：</w:t>
            </w:r>
            <w:r>
              <w:rPr>
                <w:rFonts w:hint="eastAsia" w:ascii="宋体" w:hAnsi="宋体" w:eastAsia="宋体" w:cs="宋体"/>
                <w:color w:val="000000"/>
                <w:sz w:val="21"/>
                <w:szCs w:val="21"/>
              </w:rPr>
              <w:t>配备双重温度保护装置</w:t>
            </w:r>
          </w:p>
          <w:p>
            <w:pPr>
              <w:keepNext w:val="0"/>
              <w:keepLines w:val="0"/>
              <w:widowControl/>
              <w:suppressLineNumbers w:val="0"/>
              <w:jc w:val="left"/>
              <w:textAlignment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8、治疗头：治疗高度、角度均可调</w:t>
            </w:r>
          </w:p>
          <w:p>
            <w:pPr>
              <w:keepNext w:val="0"/>
              <w:keepLines w:val="0"/>
              <w:widowControl/>
              <w:suppressLineNumbers w:val="0"/>
              <w:jc w:val="left"/>
              <w:textAlignment w:val="center"/>
              <w:rPr>
                <w:rFonts w:hint="eastAsia" w:ascii="宋体" w:hAnsi="宋体" w:cs="宋体"/>
                <w:color w:val="000000"/>
                <w:sz w:val="21"/>
                <w:szCs w:val="21"/>
                <w:lang w:val="en-US" w:eastAsia="zh-CN"/>
              </w:rPr>
            </w:pPr>
            <w:r>
              <w:rPr>
                <w:rFonts w:hint="eastAsia" w:ascii="宋体" w:hAnsi="宋体" w:eastAsia="宋体" w:cs="宋体"/>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9、</w:t>
            </w:r>
            <w:r>
              <w:rPr>
                <w:rFonts w:hint="eastAsia" w:ascii="宋体" w:hAnsi="宋体" w:cs="宋体"/>
                <w:color w:val="000000"/>
                <w:sz w:val="21"/>
                <w:szCs w:val="21"/>
                <w:lang w:val="en-US" w:eastAsia="zh-CN"/>
              </w:rPr>
              <w:t>辅助：远近红光治疗</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3年，每年至少2次的上门维修保养服务；提供现场培训；维修响应时间＜2小时，24小时内上门维修；耗材及常用零配件的价格列入合同</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697DB9EE"/>
    <w:multiLevelType w:val="singleLevel"/>
    <w:tmpl w:val="697DB9EE"/>
    <w:lvl w:ilvl="0" w:tentative="0">
      <w:start w:val="5"/>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B042B"/>
    <w:rsid w:val="2C113630"/>
    <w:rsid w:val="2C5B5F27"/>
    <w:rsid w:val="2C833CF4"/>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E57148"/>
    <w:rsid w:val="5A272FF1"/>
    <w:rsid w:val="5A2A55EE"/>
    <w:rsid w:val="5A474FE9"/>
    <w:rsid w:val="5A4A7061"/>
    <w:rsid w:val="5A6C4C54"/>
    <w:rsid w:val="5B28613A"/>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2021-04-19T09:08:21Z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