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双联铅屏采购项目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二一年十二月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鄂东医疗集团市妇幼保健院就双联铅屏采购项目采用竞争性谈判的方式招标采购，欢迎有符合条件的供应商前来投标。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项目名称：双联铅屏采购项目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预算金额：2.1万元整（供应商报价超过预算金额的视为无效响应）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四、报名方式：凡有意参加投标者，请携带有效期内的营业执照、税务登记证、组织机构代码证（三证合一只需提供营业执照），公司法人授权委托书，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五、报名时间：2021年12月8日-2021年12月14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年12月15日下午15：30；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 12 月8日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bookmarkStart w:id="0" w:name="_GoBack"/>
      <w:bookmarkEnd w:id="0"/>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244"/>
        <w:gridCol w:w="2535"/>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3"/>
            <w:noWrap w:val="0"/>
            <w:vAlign w:val="center"/>
          </w:tcPr>
          <w:p>
            <w:pPr>
              <w:adjustRightInd w:val="0"/>
              <w:snapToGrid w:val="0"/>
              <w:ind w:left="195"/>
              <w:jc w:val="center"/>
              <w:rPr>
                <w:rFonts w:hint="eastAsia" w:ascii="宋体" w:hAnsi="宋体"/>
                <w:b/>
                <w:szCs w:val="21"/>
              </w:rPr>
            </w:pPr>
            <w:r>
              <w:rPr>
                <w:rFonts w:hint="eastAsia" w:ascii="宋体" w:hAnsi="宋体" w:eastAsia="宋体" w:cs="宋体"/>
                <w:i w:val="0"/>
                <w:color w:val="000000"/>
                <w:kern w:val="0"/>
                <w:sz w:val="21"/>
                <w:szCs w:val="21"/>
                <w:u w:val="none"/>
                <w:lang w:val="en-US" w:eastAsia="zh-CN" w:bidi="ar"/>
              </w:rPr>
              <w:t>双联铅屏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244"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253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3417" w:type="dxa"/>
            <w:noWrap w:val="0"/>
            <w:vAlign w:val="center"/>
          </w:tcPr>
          <w:p>
            <w:pPr>
              <w:adjustRightInd w:val="0"/>
              <w:snapToGrid w:val="0"/>
              <w:ind w:firstLine="210" w:firstLineChars="100"/>
              <w:jc w:val="center"/>
              <w:rPr>
                <w:rFonts w:hint="default" w:ascii="宋体" w:hAnsi="宋体" w:eastAsia="宋体"/>
                <w:szCs w:val="21"/>
                <w:lang w:val="en-US" w:eastAsia="zh-CN"/>
              </w:rPr>
            </w:pPr>
            <w:r>
              <w:rPr>
                <w:rFonts w:hint="eastAsia" w:ascii="宋体" w:hAnsi="宋体" w:eastAsia="宋体"/>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4"/>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keepNext w:val="0"/>
              <w:keepLines w:val="0"/>
              <w:widowControl/>
              <w:numPr>
                <w:ilvl w:val="0"/>
                <w:numId w:val="0"/>
              </w:numPr>
              <w:suppressLineNumbers w:val="0"/>
              <w:jc w:val="left"/>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i w:val="0"/>
                <w:color w:val="000000"/>
                <w:kern w:val="0"/>
                <w:sz w:val="22"/>
                <w:szCs w:val="22"/>
                <w:u w:val="none"/>
                <w:lang w:val="en-US" w:eastAsia="zh-CN" w:bidi="ar"/>
              </w:rPr>
              <w:t>功能要求：防辐射。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widowControl w:val="0"/>
              <w:numPr>
                <w:ilvl w:val="0"/>
                <w:numId w:val="0"/>
              </w:numPr>
              <w:ind w:leftChars="0"/>
              <w:jc w:val="both"/>
              <w:rPr>
                <w:rFonts w:hint="default"/>
                <w:color w:val="12100F"/>
                <w:sz w:val="22"/>
                <w:lang w:val="en-US" w:eastAsia="zh-CN"/>
              </w:rPr>
            </w:pPr>
          </w:p>
          <w:p>
            <w:pPr>
              <w:widowControl w:val="0"/>
              <w:numPr>
                <w:ilvl w:val="0"/>
                <w:numId w:val="2"/>
              </w:numPr>
              <w:ind w:leftChars="0"/>
              <w:jc w:val="both"/>
              <w:rPr>
                <w:rFonts w:hint="eastAsia"/>
                <w:color w:val="12100F"/>
                <w:sz w:val="22"/>
                <w:lang w:val="en-US" w:eastAsia="zh-CN"/>
              </w:rPr>
            </w:pPr>
            <w:r>
              <w:rPr>
                <w:rFonts w:hint="eastAsia"/>
                <w:color w:val="12100F"/>
                <w:sz w:val="22"/>
                <w:lang w:val="en-US" w:eastAsia="zh-CN"/>
              </w:rPr>
              <w:t>防护屏：双屏；</w:t>
            </w:r>
          </w:p>
          <w:p>
            <w:pPr>
              <w:widowControl w:val="0"/>
              <w:numPr>
                <w:ilvl w:val="0"/>
                <w:numId w:val="2"/>
              </w:numPr>
              <w:ind w:leftChars="0"/>
              <w:jc w:val="both"/>
              <w:rPr>
                <w:rFonts w:hint="default"/>
                <w:color w:val="12100F"/>
                <w:sz w:val="22"/>
                <w:lang w:val="en-US" w:eastAsia="zh-CN"/>
              </w:rPr>
            </w:pPr>
            <w:r>
              <w:rPr>
                <w:rFonts w:hint="default"/>
                <w:color w:val="12100F"/>
                <w:sz w:val="22"/>
                <w:lang w:val="en-US" w:eastAsia="zh-CN"/>
              </w:rPr>
              <w:t>内部防护材料</w:t>
            </w:r>
            <w:r>
              <w:rPr>
                <w:rFonts w:hint="eastAsia"/>
                <w:color w:val="12100F"/>
                <w:sz w:val="22"/>
                <w:lang w:val="en-US" w:eastAsia="zh-CN"/>
              </w:rPr>
              <w:t>：标准铅；</w:t>
            </w:r>
          </w:p>
          <w:p>
            <w:pPr>
              <w:widowControl w:val="0"/>
              <w:numPr>
                <w:ilvl w:val="0"/>
                <w:numId w:val="2"/>
              </w:numPr>
              <w:ind w:left="0" w:leftChars="0" w:firstLine="0" w:firstLineChars="0"/>
              <w:jc w:val="both"/>
              <w:rPr>
                <w:rFonts w:hint="eastAsia"/>
                <w:color w:val="12100F"/>
                <w:sz w:val="22"/>
                <w:lang w:val="en-US" w:eastAsia="zh-CN"/>
              </w:rPr>
            </w:pPr>
            <w:r>
              <w:rPr>
                <w:rFonts w:hint="eastAsia"/>
                <w:color w:val="12100F"/>
                <w:sz w:val="22"/>
                <w:lang w:val="en-US" w:eastAsia="zh-CN"/>
              </w:rPr>
              <w:t>铅含量：2mmPb；</w:t>
            </w:r>
          </w:p>
          <w:p>
            <w:pPr>
              <w:widowControl w:val="0"/>
              <w:numPr>
                <w:ilvl w:val="0"/>
                <w:numId w:val="2"/>
              </w:numPr>
              <w:ind w:left="0" w:leftChars="0" w:firstLine="0" w:firstLineChars="0"/>
              <w:jc w:val="both"/>
              <w:rPr>
                <w:rFonts w:hint="default"/>
                <w:b w:val="0"/>
                <w:bCs w:val="0"/>
                <w:color w:val="12100F"/>
                <w:sz w:val="22"/>
                <w:highlight w:val="none"/>
                <w:lang w:val="en-US" w:eastAsia="zh-CN"/>
              </w:rPr>
            </w:pPr>
            <w:r>
              <w:rPr>
                <w:rFonts w:hint="default"/>
                <w:b w:val="0"/>
                <w:bCs w:val="0"/>
                <w:color w:val="12100F"/>
                <w:sz w:val="22"/>
                <w:highlight w:val="none"/>
                <w:lang w:val="en-US" w:eastAsia="zh-CN"/>
              </w:rPr>
              <w:t>规格</w:t>
            </w:r>
            <w:r>
              <w:rPr>
                <w:rFonts w:hint="eastAsia"/>
                <w:b w:val="0"/>
                <w:bCs w:val="0"/>
                <w:color w:val="12100F"/>
                <w:sz w:val="22"/>
                <w:highlight w:val="none"/>
                <w:lang w:val="en-US" w:eastAsia="zh-CN"/>
              </w:rPr>
              <w:t>：1900×1000mm×2（块）；</w:t>
            </w:r>
          </w:p>
          <w:p>
            <w:pPr>
              <w:widowControl w:val="0"/>
              <w:numPr>
                <w:ilvl w:val="0"/>
                <w:numId w:val="2"/>
              </w:numPr>
              <w:ind w:left="0" w:leftChars="0" w:firstLine="0" w:firstLineChars="0"/>
              <w:jc w:val="both"/>
              <w:rPr>
                <w:rFonts w:hint="default"/>
                <w:b w:val="0"/>
                <w:bCs w:val="0"/>
                <w:color w:val="12100F"/>
                <w:sz w:val="22"/>
                <w:highlight w:val="none"/>
                <w:lang w:val="en-US" w:eastAsia="zh-CN"/>
              </w:rPr>
            </w:pPr>
            <w:r>
              <w:rPr>
                <w:rFonts w:hint="default"/>
                <w:b w:val="0"/>
                <w:bCs w:val="0"/>
                <w:color w:val="12100F"/>
                <w:sz w:val="22"/>
                <w:highlight w:val="none"/>
                <w:lang w:val="en-US" w:eastAsia="zh-CN"/>
              </w:rPr>
              <w:t>观察窗防护玻璃</w:t>
            </w:r>
            <w:r>
              <w:rPr>
                <w:rFonts w:hint="eastAsia"/>
                <w:b w:val="0"/>
                <w:bCs w:val="0"/>
                <w:color w:val="12100F"/>
                <w:sz w:val="22"/>
                <w:highlight w:val="none"/>
                <w:lang w:val="en-US" w:eastAsia="zh-CN"/>
              </w:rPr>
              <w:t>：260×360×12mm(厚);</w:t>
            </w:r>
          </w:p>
          <w:p>
            <w:pPr>
              <w:widowControl w:val="0"/>
              <w:numPr>
                <w:ilvl w:val="0"/>
                <w:numId w:val="0"/>
              </w:numPr>
              <w:ind w:leftChars="0"/>
              <w:jc w:val="both"/>
              <w:rPr>
                <w:rFonts w:hint="eastAsia" w:ascii="Arial" w:hAnsi="Arial" w:cs="Arial"/>
                <w:sz w:val="22"/>
                <w:szCs w:val="22"/>
                <w:lang w:val="en-US" w:eastAsia="zh-CN"/>
              </w:rPr>
            </w:pPr>
            <w:r>
              <w:rPr>
                <w:rFonts w:hint="eastAsia"/>
                <w:color w:val="12100F"/>
                <w:sz w:val="22"/>
                <w:lang w:val="en-US" w:eastAsia="zh-CN"/>
              </w:rPr>
              <w:t>6、安装有移动静音万向轮。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质保≥3年。</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r>
    </w:tbl>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20EDA4E4"/>
    <w:multiLevelType w:val="singleLevel"/>
    <w:tmpl w:val="20EDA4E4"/>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194699"/>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67526B"/>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AE5D01"/>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181F8D"/>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2021-12-08T07:47:08Z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