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隔音室及屏蔽室采购项目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二一年六月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鄂东医疗集团市妇幼保健院就隔音室及屏蔽室采购项目采用竞争性谈判的方式招标采购，欢迎有符合条件的供应商前来投标。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项目名称：隔音室及屏蔽室采购项目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预算金额：15万元整（供应商报价超过预算金额的视为无效响应）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数量：各1套；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3）投标人必须是在工商部门进行过有效注册的具有独立法人资格的合法企业，需有固定的办公地点，营业执照经营范围中应明确标明有房屋装潢设计、施工的隔音室、屏蔽室安装等。</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4）代理商投标应具有投标产品生产企业授予的有效代理授权书，生产企业须具有履行合同所必需的建造隔音屏蔽室的设备。</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5）投标人必须提供产品参数、标准的配置清单，可靠的、正常的售后服务和技术服务；</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五、报名时间：2021年6月15 日-2021年6 月17日（上午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年6月18日上午9：00；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2021年6月15日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w:t>
      </w:r>
      <w:bookmarkStart w:id="0" w:name="_GoBack"/>
      <w:bookmarkEnd w:id="0"/>
      <w:r>
        <w:rPr>
          <w:rFonts w:hint="eastAsia" w:ascii="宋体" w:hAnsi="宋体" w:eastAsia="宋体" w:cs="宋体"/>
          <w:sz w:val="28"/>
          <w:szCs w:val="28"/>
          <w:lang w:val="en-US" w:eastAsia="zh-CN"/>
        </w:rPr>
        <w:t>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437"/>
        <w:gridCol w:w="2775"/>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3"/>
            <w:noWrap w:val="0"/>
            <w:vAlign w:val="center"/>
          </w:tcPr>
          <w:p>
            <w:pPr>
              <w:adjustRightInd w:val="0"/>
              <w:snapToGrid w:val="0"/>
              <w:ind w:left="195"/>
              <w:jc w:val="left"/>
              <w:rPr>
                <w:rFonts w:hint="eastAsia" w:ascii="宋体" w:hAnsi="宋体"/>
                <w:b/>
                <w:szCs w:val="21"/>
              </w:rPr>
            </w:pPr>
            <w:r>
              <w:rPr>
                <w:rFonts w:hint="eastAsia" w:ascii="宋体" w:hAnsi="宋体" w:cs="宋体"/>
                <w:i w:val="0"/>
                <w:color w:val="000000"/>
                <w:kern w:val="0"/>
                <w:sz w:val="22"/>
                <w:szCs w:val="22"/>
                <w:u w:val="none"/>
                <w:lang w:val="en-US" w:eastAsia="zh-CN" w:bidi="ar"/>
              </w:rPr>
              <w:t>隔音室、屏蔽室</w:t>
            </w:r>
            <w:r>
              <w:rPr>
                <w:rFonts w:hint="eastAsia" w:ascii="宋体" w:hAnsi="宋体" w:cs="宋体"/>
                <w:i w:val="0"/>
                <w:strike w:val="0"/>
                <w:dstrike w:val="0"/>
                <w:color w:val="000000"/>
                <w:kern w:val="0"/>
                <w:sz w:val="22"/>
                <w:szCs w:val="22"/>
                <w:u w:val="none"/>
                <w:lang w:val="en-US" w:eastAsia="zh-CN" w:bidi="ar"/>
              </w:rPr>
              <w:t xml:space="preserve"> </w:t>
            </w:r>
            <w:r>
              <w:rPr>
                <w:rFonts w:hint="eastAsia" w:ascii="宋体" w:hAnsi="宋体" w:cs="宋体"/>
                <w:i w:val="0"/>
                <w:color w:val="000000"/>
                <w:kern w:val="0"/>
                <w:sz w:val="22"/>
                <w:szCs w:val="22"/>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37"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437"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各1台套</w:t>
            </w:r>
          </w:p>
        </w:tc>
        <w:tc>
          <w:tcPr>
            <w:tcW w:w="277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712"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keepNext w:val="0"/>
              <w:keepLines w:val="0"/>
              <w:widowControl/>
              <w:numPr>
                <w:ilvl w:val="0"/>
                <w:numId w:val="2"/>
              </w:numPr>
              <w:suppressLineNumbers w:val="0"/>
              <w:jc w:val="left"/>
              <w:textAlignment w:val="center"/>
              <w:rPr>
                <w:rFonts w:hint="eastAsia" w:ascii="Arial" w:hAnsi="Arial" w:cs="Arial"/>
                <w:color w:val="FF0000"/>
                <w:sz w:val="21"/>
                <w:szCs w:val="21"/>
                <w:lang w:val="en-US" w:eastAsia="zh-CN"/>
              </w:rPr>
            </w:pPr>
            <w:r>
              <w:rPr>
                <w:rFonts w:hint="eastAsia" w:ascii="Arial" w:hAnsi="Arial" w:cs="Arial"/>
                <w:sz w:val="21"/>
                <w:szCs w:val="21"/>
                <w:lang w:val="en-US" w:eastAsia="zh-CN"/>
              </w:rPr>
              <w:t>隔音室：</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1、规格：尺寸内径 长1.2m*宽1.2m*高2.0m；尺寸外径 长1.5m*宽1.5m*高2.5m。</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2、噪音：正常噪音环境下，双门双墙测听室室内本底噪音≤25dB(A)，检测仪器能正常检测，达到国家规定要求（安装完成，需提供相关检测报告）；</w:t>
            </w:r>
          </w:p>
          <w:p>
            <w:pPr>
              <w:keepNext w:val="0"/>
              <w:keepLines w:val="0"/>
              <w:widowControl/>
              <w:numPr>
                <w:ilvl w:val="0"/>
                <w:numId w:val="3"/>
              </w:numPr>
              <w:suppressLineNumbers w:val="0"/>
              <w:jc w:val="left"/>
              <w:textAlignment w:val="center"/>
              <w:rPr>
                <w:rFonts w:hint="eastAsia" w:ascii="Arial" w:hAnsi="Arial" w:cs="Arial"/>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color w:val="000000"/>
                <w:sz w:val="21"/>
                <w:szCs w:val="21"/>
                <w:lang w:val="en-US" w:eastAsia="zh-CN"/>
              </w:rPr>
              <w:t>3、结构：为悬浮结构，底部与原房间只保持地面的软性连接，不损坏原房间地面；</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4.1双层钢结构复合隔声/吸声墙体；</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4.2工厂标准化生产；</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4.3可拆卸可搬迁；</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4.4现场安装，不损坏原房屋结构；</w:t>
            </w:r>
          </w:p>
          <w:p>
            <w:pPr>
              <w:keepNext w:val="0"/>
              <w:keepLines w:val="0"/>
              <w:widowControl/>
              <w:numPr>
                <w:ilvl w:val="0"/>
                <w:numId w:val="3"/>
              </w:numPr>
              <w:suppressLineNumbers w:val="0"/>
              <w:ind w:left="0" w:leftChars="0" w:firstLine="0" w:firstLineChars="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隔声门：</w:t>
            </w:r>
          </w:p>
          <w:p>
            <w:pPr>
              <w:keepNext w:val="0"/>
              <w:keepLines w:val="0"/>
              <w:widowControl/>
              <w:numPr>
                <w:ilvl w:val="0"/>
                <w:numId w:val="0"/>
              </w:numPr>
              <w:suppressLineNumbers w:val="0"/>
              <w:ind w:leftChars="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5.1全钢重质隔声门；</w:t>
            </w:r>
          </w:p>
          <w:p>
            <w:pPr>
              <w:keepNext w:val="0"/>
              <w:keepLines w:val="0"/>
              <w:widowControl/>
              <w:numPr>
                <w:ilvl w:val="0"/>
                <w:numId w:val="0"/>
              </w:numPr>
              <w:suppressLineNumbers w:val="0"/>
              <w:ind w:leftChars="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5.2采用1.2-1.8mm优质钢板冲压、焊接、复合构成；</w:t>
            </w:r>
          </w:p>
          <w:p>
            <w:pPr>
              <w:keepNext w:val="0"/>
              <w:keepLines w:val="0"/>
              <w:widowControl/>
              <w:numPr>
                <w:ilvl w:val="0"/>
                <w:numId w:val="0"/>
              </w:numPr>
              <w:suppressLineNumbers w:val="0"/>
              <w:ind w:leftChars="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5.3磁控式“双声闸”结构，完全磁吸，无须门锁；</w:t>
            </w:r>
          </w:p>
          <w:p>
            <w:pPr>
              <w:keepNext w:val="0"/>
              <w:keepLines w:val="0"/>
              <w:widowControl/>
              <w:numPr>
                <w:ilvl w:val="0"/>
                <w:numId w:val="0"/>
              </w:numPr>
              <w:suppressLineNumbers w:val="0"/>
              <w:ind w:leftChars="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5.4标准规格：830*1950mm：</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color w:val="000000"/>
                <w:sz w:val="21"/>
                <w:szCs w:val="21"/>
                <w:lang w:val="en-US" w:eastAsia="zh-CN"/>
              </w:rPr>
              <w:t>6、隔声窗：</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6.1双隔声视窗；</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6.2采用1.8mm钢板冲压、焊接、复合构成；</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6.3双层浮法玻璃构成，专业设计，杜绝“声桥”；</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 xml:space="preserve">6.4标准规格：850*700mm： </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color w:val="000000"/>
                <w:sz w:val="21"/>
                <w:szCs w:val="21"/>
                <w:lang w:val="en-US" w:eastAsia="zh-CN"/>
              </w:rPr>
              <w:t>7、通风：采用阻抗式进气消声器和阻抗式排消声器组合强制通风；</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8、地面：铺设环保吸声地毯或地胶；</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9、测听室内装饰：微孔吸音铝板与阻燃波峰棉组合；</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10、测听室外装饰：1.5钢板静电喷涂，颜色为灰白色；</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11、照明：配置无声无干扰照明系统；</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 xml:space="preserve">12、电源：220V 50HZ，允许功率：3KW。                                                      </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 xml:space="preserve">二、屏蔽室：                                                                             </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1、 规格：尺寸内径 长2.0m*宽1.5m*高2.0m；尺寸外径 长2.5m*宽2.0m*高2.5m。</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2、噪音：正常噪音环境下，双门双墙电生理屏蔽室内本底噪音≤25dB(A)，检测仪器能正常检测，达到国家规定要求（安装完成，需提供相关检测报告）；</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color w:val="000000"/>
                <w:sz w:val="21"/>
                <w:szCs w:val="21"/>
                <w:lang w:val="en-US" w:eastAsia="zh-CN"/>
              </w:rPr>
              <w:t>3、结构：整体隔声室为悬浮结构，底部与原房间只保持地面的软性连接并不损坏原房间地面；</w:t>
            </w:r>
          </w:p>
          <w:p>
            <w:pPr>
              <w:keepNext w:val="0"/>
              <w:keepLines w:val="0"/>
              <w:widowControl/>
              <w:numPr>
                <w:ilvl w:val="0"/>
                <w:numId w:val="4"/>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隔声墙体：</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4.1双层钢结构复合隔声/吸声墙体；</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4.2工厂标准化生产；</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4.3可拆卸可搬迁；</w:t>
            </w:r>
          </w:p>
          <w:p>
            <w:pPr>
              <w:keepNext w:val="0"/>
              <w:keepLines w:val="0"/>
              <w:widowControl/>
              <w:numPr>
                <w:ilvl w:val="0"/>
                <w:numId w:val="0"/>
              </w:numPr>
              <w:suppressLineNumbers w:val="0"/>
              <w:jc w:val="left"/>
              <w:textAlignment w:val="center"/>
              <w:rPr>
                <w:rFonts w:hint="eastAsia" w:ascii="Arial" w:hAnsi="Arial" w:cs="Arial"/>
                <w:color w:val="000000"/>
                <w:sz w:val="21"/>
                <w:szCs w:val="21"/>
                <w:lang w:val="en-US" w:eastAsia="zh-CN"/>
              </w:rPr>
            </w:pPr>
            <w:r>
              <w:rPr>
                <w:rFonts w:hint="eastAsia" w:ascii="Arial" w:hAnsi="Arial" w:cs="Arial"/>
                <w:color w:val="000000"/>
                <w:sz w:val="21"/>
                <w:szCs w:val="21"/>
                <w:lang w:val="en-US" w:eastAsia="zh-CN"/>
              </w:rPr>
              <w:t>4.4现场安装，不损坏原房屋结构；</w:t>
            </w:r>
          </w:p>
          <w:p>
            <w:pPr>
              <w:keepNext w:val="0"/>
              <w:keepLines w:val="0"/>
              <w:widowControl/>
              <w:numPr>
                <w:ilvl w:val="0"/>
                <w:numId w:val="4"/>
              </w:numPr>
              <w:suppressLineNumbers w:val="0"/>
              <w:ind w:left="0" w:leftChars="0" w:firstLine="0" w:firstLineChars="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隔声屏蔽门：</w:t>
            </w:r>
          </w:p>
          <w:p>
            <w:pPr>
              <w:keepNext w:val="0"/>
              <w:keepLines w:val="0"/>
              <w:widowControl/>
              <w:numPr>
                <w:ilvl w:val="0"/>
                <w:numId w:val="0"/>
              </w:numPr>
              <w:suppressLineNumbers w:val="0"/>
              <w:ind w:leftChars="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5.1全钢重质隔声门；</w:t>
            </w:r>
          </w:p>
          <w:p>
            <w:pPr>
              <w:keepNext w:val="0"/>
              <w:keepLines w:val="0"/>
              <w:widowControl/>
              <w:numPr>
                <w:ilvl w:val="0"/>
                <w:numId w:val="0"/>
              </w:numPr>
              <w:suppressLineNumbers w:val="0"/>
              <w:ind w:leftChars="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5.2采用1.2-1.8mm优质钢板冲压、焊接、复合构成；</w:t>
            </w:r>
          </w:p>
          <w:p>
            <w:pPr>
              <w:keepNext w:val="0"/>
              <w:keepLines w:val="0"/>
              <w:widowControl/>
              <w:numPr>
                <w:ilvl w:val="0"/>
                <w:numId w:val="0"/>
              </w:numPr>
              <w:suppressLineNumbers w:val="0"/>
              <w:ind w:leftChars="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5.3磁控式“双声闸”结构，完全磁吸，无须门锁，保证使用人员安全；</w:t>
            </w:r>
          </w:p>
          <w:p>
            <w:pPr>
              <w:keepNext w:val="0"/>
              <w:keepLines w:val="0"/>
              <w:widowControl/>
              <w:numPr>
                <w:ilvl w:val="0"/>
                <w:numId w:val="0"/>
              </w:numPr>
              <w:suppressLineNumbers w:val="0"/>
              <w:ind w:leftChars="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5.4标准规格：830*1950mm；</w:t>
            </w:r>
          </w:p>
          <w:p>
            <w:pPr>
              <w:keepNext w:val="0"/>
              <w:keepLines w:val="0"/>
              <w:widowControl/>
              <w:numPr>
                <w:ilvl w:val="0"/>
                <w:numId w:val="0"/>
              </w:numPr>
              <w:suppressLineNumbers w:val="0"/>
              <w:ind w:leftChars="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5.5指簧屏蔽结构；</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1"/>
                <w:szCs w:val="21"/>
                <w:lang w:val="en-US" w:eastAsia="zh-CN"/>
              </w:rPr>
              <w:t>6、隔声屏蔽窗：</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6.1双隔声视窗；</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6.2采用1.8mm钢板冲压、焊接、复合构成；</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6.3双层浮法玻璃构成，专业设计，杜绝“声桥”；</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6.4标准规格：850*700mm：</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6.5、80目铜网屏蔽；</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1"/>
                <w:szCs w:val="21"/>
                <w:lang w:val="en-US" w:eastAsia="zh-CN"/>
              </w:rPr>
              <w:t>7、通风：采用阻抗式进气消声器和阻抗式排消声器组合强制通风；</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8、地面：铺设环保吸声地毯或地胶；</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9、隔声室内装饰：微孔吸音铝板与阻燃波峰棉组合；</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10、电磁屏蔽（适应于电生理屏蔽室）：</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10.1高目数铜网+优质镀锌钢板复合；</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10.2进口电源滤波器；</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10.3优质隔音屏蔽门，指簧片屏蔽结合，定制隔音屏蔽窗；</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10.4内外连接满足各种设备使用要求并保证设备使用无衰减；</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10.5屏蔽效能大于40dB(A（安装完成，需提供相关检测报告）；</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11、隔声屏蔽室外装饰：</w:t>
            </w:r>
            <w:r>
              <w:rPr>
                <w:rFonts w:hint="eastAsia" w:ascii="Arial" w:hAnsi="Arial" w:cs="Arial"/>
                <w:color w:val="000000"/>
                <w:sz w:val="21"/>
                <w:szCs w:val="21"/>
                <w:lang w:val="en-US" w:eastAsia="zh-CN"/>
              </w:rPr>
              <w:t>不少于1.5厚度钢板静</w:t>
            </w:r>
            <w:r>
              <w:rPr>
                <w:rFonts w:hint="eastAsia" w:ascii="Arial" w:hAnsi="Arial" w:cs="Arial"/>
                <w:sz w:val="21"/>
                <w:szCs w:val="21"/>
                <w:lang w:val="en-US" w:eastAsia="zh-CN"/>
              </w:rPr>
              <w:t>电喷涂为灰白色；</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12、照明：配置无声无干扰照明系统；</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13、电源：220V 50HZ，允许功率：3KW；</w:t>
            </w:r>
          </w:p>
          <w:p>
            <w:pPr>
              <w:keepNext w:val="0"/>
              <w:keepLines w:val="0"/>
              <w:widowControl/>
              <w:numPr>
                <w:ilvl w:val="0"/>
                <w:numId w:val="0"/>
              </w:numPr>
              <w:suppressLineNumbers w:val="0"/>
              <w:jc w:val="left"/>
              <w:textAlignment w:val="center"/>
              <w:rPr>
                <w:rFonts w:hint="eastAsia" w:ascii="Arial" w:hAnsi="Arial" w:cs="Arial"/>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Arial" w:hAnsi="Arial" w:cs="Arial"/>
                <w:sz w:val="21"/>
                <w:szCs w:val="21"/>
                <w:lang w:val="en-US" w:eastAsia="zh-CN"/>
              </w:rPr>
              <w:t>14、屏蔽电阻＜4欧姆；</w:t>
            </w:r>
          </w:p>
          <w:p>
            <w:pPr>
              <w:keepNext w:val="0"/>
              <w:keepLines w:val="0"/>
              <w:widowControl/>
              <w:numPr>
                <w:ilvl w:val="0"/>
                <w:numId w:val="5"/>
              </w:numPr>
              <w:suppressLineNumbers w:val="0"/>
              <w:jc w:val="left"/>
              <w:textAlignment w:val="center"/>
              <w:rPr>
                <w:rFonts w:hint="eastAsia" w:ascii="Arial" w:hAnsi="Arial" w:cs="Arial"/>
                <w:sz w:val="21"/>
                <w:szCs w:val="21"/>
                <w:lang w:val="en-US" w:eastAsia="zh-CN"/>
              </w:rPr>
            </w:pPr>
            <w:r>
              <w:rPr>
                <w:rFonts w:hint="eastAsia" w:ascii="Arial" w:hAnsi="Arial" w:cs="Arial"/>
                <w:sz w:val="21"/>
                <w:szCs w:val="21"/>
                <w:lang w:val="en-US" w:eastAsia="zh-CN"/>
              </w:rPr>
              <w:t xml:space="preserve">屏蔽专用滤波器：具备。      </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Arial" w:hAnsi="Arial" w:cs="Arial"/>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4"/>
            <w:noWrap w:val="0"/>
            <w:vAlign w:val="top"/>
          </w:tcPr>
          <w:p>
            <w:pP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eastAsia="宋体" w:cs="宋体"/>
                <w:b/>
                <w:i w:val="0"/>
                <w:color w:val="000000"/>
                <w:kern w:val="0"/>
                <w:sz w:val="22"/>
                <w:szCs w:val="22"/>
                <w:u w:val="none"/>
                <w:lang w:val="en-US" w:eastAsia="zh-CN" w:bidi="ar"/>
              </w:rPr>
            </w:pP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6"/>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78310"/>
    <w:multiLevelType w:val="singleLevel"/>
    <w:tmpl w:val="91078310"/>
    <w:lvl w:ilvl="0" w:tentative="0">
      <w:start w:val="1"/>
      <w:numFmt w:val="chineseCounting"/>
      <w:suff w:val="nothing"/>
      <w:lvlText w:val="%1、"/>
      <w:lvlJc w:val="left"/>
      <w:rPr>
        <w:rFonts w:hint="eastAsia"/>
        <w:color w:val="000000"/>
      </w:rPr>
    </w:lvl>
  </w:abstractNum>
  <w:abstractNum w:abstractNumId="1">
    <w:nsid w:val="9C6423A1"/>
    <w:multiLevelType w:val="singleLevel"/>
    <w:tmpl w:val="9C6423A1"/>
    <w:lvl w:ilvl="0" w:tentative="0">
      <w:start w:val="1"/>
      <w:numFmt w:val="decimal"/>
      <w:suff w:val="nothing"/>
      <w:lvlText w:val="%1、"/>
      <w:lvlJc w:val="left"/>
    </w:lvl>
  </w:abstractNum>
  <w:abstractNum w:abstractNumId="2">
    <w:nsid w:val="AEA902DB"/>
    <w:multiLevelType w:val="singleLevel"/>
    <w:tmpl w:val="AEA902DB"/>
    <w:lvl w:ilvl="0" w:tentative="0">
      <w:start w:val="4"/>
      <w:numFmt w:val="decimal"/>
      <w:suff w:val="nothing"/>
      <w:lvlText w:val="%1、"/>
      <w:lvlJc w:val="left"/>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6CA3C1AD"/>
    <w:multiLevelType w:val="singleLevel"/>
    <w:tmpl w:val="6CA3C1AD"/>
    <w:lvl w:ilvl="0" w:tentative="0">
      <w:start w:val="15"/>
      <w:numFmt w:val="decimal"/>
      <w:suff w:val="nothing"/>
      <w:lvlText w:val="%1、"/>
      <w:lvlJc w:val="left"/>
    </w:lvl>
  </w:abstractNum>
  <w:abstractNum w:abstractNumId="5">
    <w:nsid w:val="75139781"/>
    <w:multiLevelType w:val="singleLevel"/>
    <w:tmpl w:val="75139781"/>
    <w:lvl w:ilvl="0" w:tentative="0">
      <w:start w:val="4"/>
      <w:numFmt w:val="decimal"/>
      <w:suff w:val="nothing"/>
      <w:lvlText w:val="%1、"/>
      <w:lvlJc w:val="left"/>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AC72567"/>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050B0"/>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1D0A22"/>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5E431B5"/>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2021-06-15T08:38:51Z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