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医用离心机采购项目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二一年五</w:t>
      </w:r>
      <w:bookmarkStart w:id="0" w:name="_GoBack"/>
      <w:bookmarkEnd w:id="0"/>
      <w:r>
        <w:rPr>
          <w:rFonts w:hint="eastAsia" w:hAnsi="宋体"/>
          <w:sz w:val="32"/>
          <w:szCs w:val="32"/>
          <w:lang w:eastAsia="zh-CN"/>
        </w:rPr>
        <w:t>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鄂东医疗集团市妇幼保健院就医用离心机采购项目采用竞争性谈判的方式招标采购，欢迎有符合条件的供应商前来投标。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项目名称：医用离心机采购项目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预算金额：2.4万元整（供应商报价超过预算金额的视为无效响应）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数量：2台套；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五、报名时间：2021年5月8日-2021年5月11日（上午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 2021 年5月12日上午9：00；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2021年5月8日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tbl>
      <w:tblPr>
        <w:tblStyle w:val="6"/>
        <w:tblW w:w="9869" w:type="dxa"/>
        <w:jc w:val="center"/>
        <w:tblLayout w:type="fixed"/>
        <w:tblCellMar>
          <w:top w:w="0" w:type="dxa"/>
          <w:left w:w="0" w:type="dxa"/>
          <w:bottom w:w="0" w:type="dxa"/>
          <w:right w:w="0" w:type="dxa"/>
        </w:tblCellMar>
      </w:tblPr>
      <w:tblGrid>
        <w:gridCol w:w="810"/>
        <w:gridCol w:w="2033"/>
        <w:gridCol w:w="1202"/>
        <w:gridCol w:w="550"/>
        <w:gridCol w:w="1653"/>
        <w:gridCol w:w="797"/>
        <w:gridCol w:w="2824"/>
      </w:tblGrid>
      <w:tr>
        <w:tblPrEx>
          <w:tblCellMar>
            <w:top w:w="0" w:type="dxa"/>
            <w:left w:w="0" w:type="dxa"/>
            <w:bottom w:w="0" w:type="dxa"/>
            <w:right w:w="0" w:type="dxa"/>
          </w:tblCellMar>
        </w:tblPrEx>
        <w:trPr>
          <w:trHeight w:val="90" w:hRule="atLeast"/>
          <w:jc w:val="center"/>
        </w:trPr>
        <w:tc>
          <w:tcPr>
            <w:tcW w:w="9869"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i w:val="0"/>
                <w:color w:val="000000"/>
                <w:sz w:val="32"/>
                <w:szCs w:val="32"/>
                <w:u w:val="none"/>
                <w:lang w:val="en-US"/>
              </w:rPr>
            </w:pPr>
          </w:p>
        </w:tc>
      </w:tr>
      <w:tr>
        <w:tblPrEx>
          <w:tblCellMar>
            <w:top w:w="0" w:type="dxa"/>
            <w:left w:w="0" w:type="dxa"/>
            <w:bottom w:w="0" w:type="dxa"/>
            <w:right w:w="0" w:type="dxa"/>
          </w:tblCellMar>
        </w:tblPrEx>
        <w:trPr>
          <w:trHeight w:val="584" w:hRule="atLeast"/>
          <w:jc w:val="center"/>
        </w:trPr>
        <w:tc>
          <w:tcPr>
            <w:tcW w:w="459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设备名称</w:t>
            </w:r>
            <w:r>
              <w:rPr>
                <w:rFonts w:hint="eastAsia" w:ascii="宋体" w:hAnsi="宋体" w:cs="宋体"/>
                <w:i w:val="0"/>
                <w:color w:val="000000"/>
                <w:kern w:val="0"/>
                <w:sz w:val="22"/>
                <w:szCs w:val="22"/>
                <w:u w:val="none"/>
                <w:lang w:val="en-US" w:eastAsia="zh-CN" w:bidi="ar"/>
              </w:rPr>
              <w:t>：</w:t>
            </w:r>
            <w:r>
              <w:rPr>
                <w:rFonts w:hint="eastAsia" w:ascii="宋体" w:hAnsi="宋体" w:cs="宋体"/>
                <w:i w:val="0"/>
                <w:color w:val="000000"/>
                <w:kern w:val="0"/>
                <w:sz w:val="22"/>
                <w:szCs w:val="22"/>
                <w:u w:val="single"/>
                <w:lang w:val="en-US" w:eastAsia="zh-CN" w:bidi="ar"/>
              </w:rPr>
              <w:t xml:space="preserve">    医用台式离心机    </w:t>
            </w:r>
          </w:p>
        </w:tc>
        <w:tc>
          <w:tcPr>
            <w:tcW w:w="24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购置数量：</w:t>
            </w:r>
            <w:r>
              <w:rPr>
                <w:rFonts w:hint="eastAsia" w:ascii="宋体" w:hAnsi="宋体" w:cs="宋体"/>
                <w:i w:val="0"/>
                <w:color w:val="000000"/>
                <w:sz w:val="22"/>
                <w:szCs w:val="22"/>
                <w:u w:val="single"/>
                <w:lang w:val="en-US" w:eastAsia="zh-CN"/>
              </w:rPr>
              <w:t xml:space="preserve">  2    </w:t>
            </w:r>
            <w:r>
              <w:rPr>
                <w:rFonts w:hint="eastAsia" w:ascii="宋体" w:hAnsi="宋体" w:cs="宋体"/>
                <w:i w:val="0"/>
                <w:color w:val="000000"/>
                <w:sz w:val="22"/>
                <w:szCs w:val="22"/>
                <w:u w:val="none"/>
                <w:lang w:val="en-US" w:eastAsia="zh-CN"/>
              </w:rPr>
              <w:t>台套</w:t>
            </w:r>
          </w:p>
        </w:tc>
        <w:tc>
          <w:tcPr>
            <w:tcW w:w="28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220" w:firstLineChars="10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预算：</w:t>
            </w:r>
            <w:r>
              <w:rPr>
                <w:rFonts w:hint="eastAsia" w:ascii="宋体" w:hAnsi="宋体" w:cs="宋体"/>
                <w:i w:val="0"/>
                <w:color w:val="000000"/>
                <w:sz w:val="22"/>
                <w:szCs w:val="22"/>
                <w:u w:val="single"/>
                <w:lang w:val="en-US" w:eastAsia="zh-CN"/>
              </w:rPr>
              <w:t xml:space="preserve"> 2.4   </w:t>
            </w:r>
            <w:r>
              <w:rPr>
                <w:rFonts w:hint="eastAsia" w:ascii="宋体" w:hAnsi="宋体" w:cs="宋体"/>
                <w:i w:val="0"/>
                <w:color w:val="000000"/>
                <w:sz w:val="22"/>
                <w:szCs w:val="22"/>
                <w:u w:val="none"/>
                <w:lang w:val="en-US" w:eastAsia="zh-CN"/>
              </w:rPr>
              <w:t>万元</w:t>
            </w:r>
          </w:p>
        </w:tc>
      </w:tr>
      <w:tr>
        <w:tblPrEx>
          <w:tblCellMar>
            <w:top w:w="0" w:type="dxa"/>
            <w:left w:w="0" w:type="dxa"/>
            <w:bottom w:w="0" w:type="dxa"/>
            <w:right w:w="0" w:type="dxa"/>
          </w:tblCellMar>
        </w:tblPrEx>
        <w:trPr>
          <w:trHeight w:val="388" w:hRule="atLeast"/>
          <w:jc w:val="center"/>
        </w:trPr>
        <w:tc>
          <w:tcPr>
            <w:tcW w:w="986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一、整体要求</w:t>
            </w:r>
          </w:p>
        </w:tc>
      </w:tr>
      <w:tr>
        <w:tblPrEx>
          <w:tblCellMar>
            <w:top w:w="0" w:type="dxa"/>
            <w:left w:w="0" w:type="dxa"/>
            <w:bottom w:w="0" w:type="dxa"/>
            <w:right w:w="0" w:type="dxa"/>
          </w:tblCellMar>
        </w:tblPrEx>
        <w:trPr>
          <w:trHeight w:val="663" w:hRule="atLeast"/>
          <w:jc w:val="center"/>
        </w:trPr>
        <w:tc>
          <w:tcPr>
            <w:tcW w:w="986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国产；用于临床血液、体液等样本的快速分离与沉淀。</w:t>
            </w:r>
          </w:p>
        </w:tc>
      </w:tr>
      <w:tr>
        <w:tblPrEx>
          <w:tblCellMar>
            <w:top w:w="0" w:type="dxa"/>
            <w:left w:w="0" w:type="dxa"/>
            <w:bottom w:w="0" w:type="dxa"/>
            <w:right w:w="0" w:type="dxa"/>
          </w:tblCellMar>
        </w:tblPrEx>
        <w:trPr>
          <w:trHeight w:val="311" w:hRule="atLeast"/>
          <w:jc w:val="center"/>
        </w:trPr>
        <w:tc>
          <w:tcPr>
            <w:tcW w:w="986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二、配置清单</w:t>
            </w:r>
          </w:p>
        </w:tc>
      </w:tr>
      <w:tr>
        <w:tblPrEx>
          <w:tblCellMar>
            <w:top w:w="0" w:type="dxa"/>
            <w:left w:w="0" w:type="dxa"/>
            <w:bottom w:w="0" w:type="dxa"/>
            <w:right w:w="0" w:type="dxa"/>
          </w:tblCellMar>
        </w:tblPrEx>
        <w:trPr>
          <w:trHeight w:val="500" w:hRule="atLeast"/>
          <w:jc w:val="center"/>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项目名称</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数量</w:t>
            </w:r>
          </w:p>
        </w:tc>
        <w:tc>
          <w:tcPr>
            <w:tcW w:w="22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单位</w:t>
            </w:r>
          </w:p>
        </w:tc>
        <w:tc>
          <w:tcPr>
            <w:tcW w:w="36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功能要求</w:t>
            </w:r>
          </w:p>
        </w:tc>
      </w:tr>
      <w:tr>
        <w:tblPrEx>
          <w:tblCellMar>
            <w:top w:w="0" w:type="dxa"/>
            <w:left w:w="0" w:type="dxa"/>
            <w:bottom w:w="0" w:type="dxa"/>
            <w:right w:w="0" w:type="dxa"/>
          </w:tblCellMar>
        </w:tblPrEx>
        <w:trPr>
          <w:trHeight w:val="562" w:hRule="atLeast"/>
          <w:jc w:val="center"/>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水平转子-吊篮</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2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组</w:t>
            </w:r>
          </w:p>
        </w:tc>
        <w:tc>
          <w:tcPr>
            <w:tcW w:w="36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96-100孔，用于真空采血管</w:t>
            </w:r>
          </w:p>
        </w:tc>
      </w:tr>
      <w:tr>
        <w:tblPrEx>
          <w:tblCellMar>
            <w:top w:w="0" w:type="dxa"/>
            <w:left w:w="0" w:type="dxa"/>
            <w:bottom w:w="0" w:type="dxa"/>
            <w:right w:w="0" w:type="dxa"/>
          </w:tblCellMar>
        </w:tblPrEx>
        <w:trPr>
          <w:trHeight w:val="437" w:hRule="atLeast"/>
          <w:jc w:val="center"/>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水平转子-吊篮</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2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组</w:t>
            </w:r>
          </w:p>
        </w:tc>
        <w:tc>
          <w:tcPr>
            <w:tcW w:w="36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24-32孔，用于真空采血管</w:t>
            </w:r>
          </w:p>
        </w:tc>
      </w:tr>
      <w:tr>
        <w:tblPrEx>
          <w:tblCellMar>
            <w:top w:w="0" w:type="dxa"/>
            <w:left w:w="0" w:type="dxa"/>
            <w:bottom w:w="0" w:type="dxa"/>
            <w:right w:w="0" w:type="dxa"/>
          </w:tblCellMar>
        </w:tblPrEx>
        <w:trPr>
          <w:trHeight w:val="477" w:hRule="atLeast"/>
          <w:jc w:val="center"/>
        </w:trPr>
        <w:tc>
          <w:tcPr>
            <w:tcW w:w="9869" w:type="dxa"/>
            <w:gridSpan w:val="7"/>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三、技术参数（※作论证依据，请详细注明）</w:t>
            </w:r>
          </w:p>
        </w:tc>
      </w:tr>
      <w:tr>
        <w:tblPrEx>
          <w:tblCellMar>
            <w:top w:w="0" w:type="dxa"/>
            <w:left w:w="0" w:type="dxa"/>
            <w:bottom w:w="0" w:type="dxa"/>
            <w:right w:w="0" w:type="dxa"/>
          </w:tblCellMar>
        </w:tblPrEx>
        <w:trPr>
          <w:trHeight w:val="2233" w:hRule="atLeast"/>
          <w:jc w:val="center"/>
        </w:trPr>
        <w:tc>
          <w:tcPr>
            <w:tcW w:w="986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最高转速：</w:t>
            </w:r>
            <w:r>
              <w:rPr>
                <w:rFonts w:hint="default" w:ascii="Arial" w:hAnsi="Arial" w:cs="Arial"/>
                <w:sz w:val="22"/>
                <w:szCs w:val="22"/>
                <w:lang w:val="en-US" w:eastAsia="zh-CN"/>
              </w:rPr>
              <w:t>≥</w:t>
            </w:r>
            <w:r>
              <w:rPr>
                <w:rFonts w:hint="eastAsia" w:ascii="Arial" w:hAnsi="Arial" w:cs="Arial"/>
                <w:sz w:val="22"/>
                <w:szCs w:val="22"/>
                <w:lang w:val="en-US" w:eastAsia="zh-CN"/>
              </w:rPr>
              <w:t>4000r/min；</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最大离心力：分别</w:t>
            </w:r>
            <w:r>
              <w:rPr>
                <w:rFonts w:hint="default" w:ascii="Arial" w:hAnsi="Arial" w:cs="Arial"/>
                <w:sz w:val="22"/>
                <w:szCs w:val="22"/>
                <w:lang w:val="en-US" w:eastAsia="zh-CN"/>
              </w:rPr>
              <w:t>≥</w:t>
            </w:r>
            <w:r>
              <w:rPr>
                <w:rFonts w:hint="eastAsia" w:ascii="Arial" w:hAnsi="Arial" w:cs="Arial"/>
                <w:sz w:val="22"/>
                <w:szCs w:val="22"/>
                <w:lang w:val="en-US" w:eastAsia="zh-CN"/>
              </w:rPr>
              <w:t>3000g及2200g；</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定时时间：1-99min可调；</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电源电压：AC220V 50Hz；</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操控方式：按键开关，LED显示，电动开锁，开盖停机；</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驱动：无刷电机驱动，不锈钢离心腔。</w:t>
            </w:r>
          </w:p>
        </w:tc>
      </w:tr>
      <w:tr>
        <w:tblPrEx>
          <w:tblCellMar>
            <w:top w:w="0" w:type="dxa"/>
            <w:left w:w="0" w:type="dxa"/>
            <w:bottom w:w="0" w:type="dxa"/>
            <w:right w:w="0" w:type="dxa"/>
          </w:tblCellMar>
        </w:tblPrEx>
        <w:trPr>
          <w:trHeight w:val="389" w:hRule="atLeast"/>
          <w:jc w:val="center"/>
        </w:trPr>
        <w:tc>
          <w:tcPr>
            <w:tcW w:w="986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四、</w:t>
            </w:r>
            <w:r>
              <w:rPr>
                <w:rFonts w:hint="eastAsia" w:ascii="宋体" w:hAnsi="宋体" w:eastAsia="宋体" w:cs="宋体"/>
                <w:i w:val="0"/>
                <w:color w:val="000000"/>
                <w:kern w:val="0"/>
                <w:sz w:val="22"/>
                <w:szCs w:val="22"/>
                <w:u w:val="none"/>
                <w:lang w:val="en-US" w:eastAsia="zh-CN" w:bidi="ar"/>
              </w:rPr>
              <w:t>其它要求</w:t>
            </w:r>
          </w:p>
        </w:tc>
      </w:tr>
      <w:tr>
        <w:tblPrEx>
          <w:tblCellMar>
            <w:top w:w="0" w:type="dxa"/>
            <w:left w:w="0" w:type="dxa"/>
            <w:bottom w:w="0" w:type="dxa"/>
            <w:right w:w="0" w:type="dxa"/>
          </w:tblCellMar>
        </w:tblPrEx>
        <w:trPr>
          <w:trHeight w:val="297" w:hRule="atLeast"/>
          <w:jc w:val="center"/>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序号</w:t>
            </w:r>
          </w:p>
        </w:tc>
        <w:tc>
          <w:tcPr>
            <w:tcW w:w="905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培训、售后等服务需求</w:t>
            </w:r>
          </w:p>
        </w:tc>
      </w:tr>
      <w:tr>
        <w:tblPrEx>
          <w:tblCellMar>
            <w:top w:w="0" w:type="dxa"/>
            <w:left w:w="0" w:type="dxa"/>
            <w:bottom w:w="0" w:type="dxa"/>
            <w:right w:w="0" w:type="dxa"/>
          </w:tblCellMar>
        </w:tblPrEx>
        <w:trPr>
          <w:trHeight w:val="625" w:hRule="atLeast"/>
          <w:jc w:val="center"/>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905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3年；提供现场培训；如遇故障2小时响应，24小时到达现场维修</w:t>
            </w: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34C9CA49"/>
    <w:multiLevelType w:val="singleLevel"/>
    <w:tmpl w:val="34C9CA49"/>
    <w:lvl w:ilvl="0" w:tentative="0">
      <w:start w:val="1"/>
      <w:numFmt w:val="decimal"/>
      <w:suff w:val="nothing"/>
      <w:lvlText w:val="%1、"/>
      <w:lvlJc w:val="left"/>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2021-05-08T00:40:53Z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