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640" w:firstLineChars="200"/>
        <w:rPr>
          <w:rFonts w:hint="eastAsia"/>
          <w:bCs/>
          <w:sz w:val="28"/>
          <w:szCs w:val="28"/>
          <w:lang w:eastAsia="zh-CN"/>
        </w:rPr>
      </w:pPr>
      <w:r>
        <w:rPr>
          <w:bCs/>
          <w:sz w:val="32"/>
          <w:szCs w:val="32"/>
        </w:rPr>
        <w:t>项目名称：</w:t>
      </w:r>
      <w:r>
        <w:rPr>
          <w:rFonts w:hint="eastAsia"/>
          <w:bCs/>
          <w:sz w:val="28"/>
          <w:szCs w:val="28"/>
          <w:lang w:eastAsia="zh-CN"/>
        </w:rPr>
        <w:t>鄂东医疗集团市妇幼保健院</w:t>
      </w:r>
      <w:r>
        <w:rPr>
          <w:rFonts w:hint="eastAsia"/>
          <w:bCs/>
          <w:sz w:val="28"/>
          <w:szCs w:val="28"/>
          <w:lang w:val="en-US" w:eastAsia="zh-CN"/>
        </w:rPr>
        <w:t>UPS电池</w:t>
      </w:r>
      <w:r>
        <w:rPr>
          <w:rFonts w:hint="eastAsia"/>
          <w:bCs/>
          <w:sz w:val="28"/>
          <w:szCs w:val="28"/>
          <w:lang w:eastAsia="zh-CN"/>
        </w:rPr>
        <w:t>采购项目</w:t>
      </w:r>
    </w:p>
    <w:p>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二一年一月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鄂东医疗集团市妇幼保健院就UPS电池采购项目采用竞争性谈判的方式招标采购，欢迎有符合条件的供应商前来投标。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项目名称：UPS电池</w:t>
      </w:r>
      <w:bookmarkStart w:id="0" w:name="_GoBack"/>
      <w:bookmarkEnd w:id="0"/>
      <w:r>
        <w:rPr>
          <w:rFonts w:hint="eastAsia" w:ascii="宋体" w:hAnsi="宋体" w:eastAsia="宋体" w:cs="宋体"/>
          <w:sz w:val="28"/>
          <w:szCs w:val="28"/>
          <w:lang w:val="en-US" w:eastAsia="zh-CN"/>
        </w:rPr>
        <w:t>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预算金额：5.76万元整（供应商报价超过预算金额的视为无效响应）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采购数量：64节</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4)产品生产厂家通过ISO9001量管理体系认证、ISO14001环境管理体系认证、ISO18001职业健康安全管理体系认证；</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5)产品通过国家消防电子产品质量监督检验中心检验，提供产品检验报告；</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6)产品通过电信设备抗震8、9级检测，提供产品检验合格证；</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7)产品满足IEC标准，提供产品检验报告；</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公司法人授权委托书、投标产品品牌授权书，以上证件加盖公章复印件到黄石市妇幼保健院3号楼206办公室现场报名或将上述证件（原件）的扫描件发至邮箱1049010872@qq.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五、报名时间：2021年1 月11 日-2021年1月 13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六、标书递交截止时间及开标时间：2021年1月14日上午10：00；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七、招标地点：鄂东医疗集团市妇幼保健院行政楼203会议室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2021年1月 11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一、采购内容：</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1、铅酸免维护蓄电池；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2、12V蓄电池，容量应不小于100Ah，应满足UPS负载放电时间的要求，提供蓄电池的恒功率放电数据表。</w:t>
      </w:r>
    </w:p>
    <w:p>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蓄电池设计浮充寿命7-10年（25℃），到货的蓄电池为出厂3个月内的近期产品。</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4、蓄电池的浮充电压值及范围：13.50V-13.80V，浮充电流值及范围: 50-100mA/100Ah；蓄电池的充电（恒压）电压值及范围: 14.40V-14.80V，充电电流值及范围: 0.1C10-0.2C10.</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5、蓄电池槽、盖、安全阀、极柱封口剂等材料应具有阻燃性，蓄电池在充电过程中遇有明火，内部不应引爆。</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6、蓄电池外壳采用PP聚丙烯材质，有加强筋条设计，防止电池鼓胀、破裂。</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7、测定电池内阻，内阻应小于5.5毫安。</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二、售后要求：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1、要求电池质保期</w:t>
      </w:r>
      <w:r>
        <w:rPr>
          <w:rFonts w:hint="default" w:ascii="Arial" w:hAnsi="Arial" w:eastAsia="宋体" w:cs="Arial"/>
          <w:sz w:val="28"/>
          <w:szCs w:val="28"/>
          <w:lang w:val="en-US" w:eastAsia="zh-CN"/>
        </w:rPr>
        <w:t>≥</w:t>
      </w:r>
      <w:r>
        <w:rPr>
          <w:rFonts w:hint="eastAsia" w:ascii="宋体" w:hAnsi="宋体" w:eastAsia="宋体" w:cs="宋体"/>
          <w:sz w:val="28"/>
          <w:szCs w:val="28"/>
          <w:lang w:val="en-US" w:eastAsia="zh-CN"/>
        </w:rPr>
        <w:t>3年；原厂售后证明；</w:t>
      </w:r>
    </w:p>
    <w:p>
      <w:pPr>
        <w:numPr>
          <w:ilvl w:val="0"/>
          <w:numId w:val="0"/>
        </w:numPr>
        <w:jc w:val="both"/>
        <w:rPr>
          <w:rFonts w:hint="eastAsia" w:ascii="宋体" w:hAnsi="宋体" w:eastAsia="宋体" w:cs="宋体"/>
          <w:sz w:val="28"/>
          <w:szCs w:val="28"/>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C89BDA66"/>
    <w:multiLevelType w:val="singleLevel"/>
    <w:tmpl w:val="C89BDA66"/>
    <w:lvl w:ilvl="0" w:tentative="0">
      <w:start w:val="3"/>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17757"/>
    <w:rsid w:val="046C303A"/>
    <w:rsid w:val="04FC664C"/>
    <w:rsid w:val="052B62A9"/>
    <w:rsid w:val="05454389"/>
    <w:rsid w:val="056734BF"/>
    <w:rsid w:val="05B85D71"/>
    <w:rsid w:val="061328CE"/>
    <w:rsid w:val="06225CED"/>
    <w:rsid w:val="06393422"/>
    <w:rsid w:val="06C80740"/>
    <w:rsid w:val="06D83420"/>
    <w:rsid w:val="06E71AF8"/>
    <w:rsid w:val="07261BE1"/>
    <w:rsid w:val="0733472D"/>
    <w:rsid w:val="09420304"/>
    <w:rsid w:val="0979236C"/>
    <w:rsid w:val="0991730B"/>
    <w:rsid w:val="099D5FE5"/>
    <w:rsid w:val="09A25A3F"/>
    <w:rsid w:val="09D11212"/>
    <w:rsid w:val="09F34C42"/>
    <w:rsid w:val="0A9E515F"/>
    <w:rsid w:val="0B5F6A32"/>
    <w:rsid w:val="0B876E21"/>
    <w:rsid w:val="0C0C7EA9"/>
    <w:rsid w:val="0C277283"/>
    <w:rsid w:val="0C2B666B"/>
    <w:rsid w:val="0C470D9B"/>
    <w:rsid w:val="0C580DB4"/>
    <w:rsid w:val="0C8D6B76"/>
    <w:rsid w:val="0C8E67BE"/>
    <w:rsid w:val="0C9769C2"/>
    <w:rsid w:val="0CB714BC"/>
    <w:rsid w:val="0CC33296"/>
    <w:rsid w:val="0D4F60C5"/>
    <w:rsid w:val="0D8B472F"/>
    <w:rsid w:val="0DAD2627"/>
    <w:rsid w:val="0DD7107D"/>
    <w:rsid w:val="0DDD412A"/>
    <w:rsid w:val="0DF917B5"/>
    <w:rsid w:val="0E0B670C"/>
    <w:rsid w:val="0E377356"/>
    <w:rsid w:val="0E997719"/>
    <w:rsid w:val="0F336588"/>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32822EB"/>
    <w:rsid w:val="13317FBC"/>
    <w:rsid w:val="13610D00"/>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AF37B29"/>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47369"/>
    <w:rsid w:val="280469B9"/>
    <w:rsid w:val="280A326A"/>
    <w:rsid w:val="287664F0"/>
    <w:rsid w:val="287E686D"/>
    <w:rsid w:val="29817342"/>
    <w:rsid w:val="299036FB"/>
    <w:rsid w:val="29D93AF7"/>
    <w:rsid w:val="2A4C7485"/>
    <w:rsid w:val="2A8F48E9"/>
    <w:rsid w:val="2AFF18B8"/>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CB4FE1"/>
    <w:rsid w:val="32DE2387"/>
    <w:rsid w:val="33053FF6"/>
    <w:rsid w:val="332210CE"/>
    <w:rsid w:val="338E430A"/>
    <w:rsid w:val="33E9545D"/>
    <w:rsid w:val="340924F7"/>
    <w:rsid w:val="34161696"/>
    <w:rsid w:val="34677D8F"/>
    <w:rsid w:val="347D71CA"/>
    <w:rsid w:val="34F071C4"/>
    <w:rsid w:val="355B6D7A"/>
    <w:rsid w:val="357C52F8"/>
    <w:rsid w:val="3588352C"/>
    <w:rsid w:val="35A4158B"/>
    <w:rsid w:val="35F80161"/>
    <w:rsid w:val="35F823AF"/>
    <w:rsid w:val="3602140A"/>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0561CF"/>
    <w:rsid w:val="3CA007FC"/>
    <w:rsid w:val="3CF922D5"/>
    <w:rsid w:val="3CFF1449"/>
    <w:rsid w:val="3CFF5BBA"/>
    <w:rsid w:val="3D0B2979"/>
    <w:rsid w:val="3D0F440D"/>
    <w:rsid w:val="3D4D5643"/>
    <w:rsid w:val="3D521E46"/>
    <w:rsid w:val="3DBA23E3"/>
    <w:rsid w:val="3DFB4BD7"/>
    <w:rsid w:val="3E273379"/>
    <w:rsid w:val="3E5D0304"/>
    <w:rsid w:val="3E65014A"/>
    <w:rsid w:val="3E79569C"/>
    <w:rsid w:val="3ED63C20"/>
    <w:rsid w:val="3ED63FB9"/>
    <w:rsid w:val="3F7A4E40"/>
    <w:rsid w:val="3FBC76BA"/>
    <w:rsid w:val="3FD5302F"/>
    <w:rsid w:val="3FDA683B"/>
    <w:rsid w:val="40427D97"/>
    <w:rsid w:val="404C0B5B"/>
    <w:rsid w:val="40BE7D97"/>
    <w:rsid w:val="41414249"/>
    <w:rsid w:val="41E407BC"/>
    <w:rsid w:val="42273266"/>
    <w:rsid w:val="42824A53"/>
    <w:rsid w:val="42BD4EFA"/>
    <w:rsid w:val="42C30BC8"/>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D3D7AC3"/>
    <w:rsid w:val="4D624F7F"/>
    <w:rsid w:val="4E0E3DFA"/>
    <w:rsid w:val="4E29692A"/>
    <w:rsid w:val="4EC340F3"/>
    <w:rsid w:val="4EC62FCA"/>
    <w:rsid w:val="4F17243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AE2F84"/>
    <w:rsid w:val="58F830DA"/>
    <w:rsid w:val="593E16F9"/>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8B4745"/>
    <w:rsid w:val="65997DAE"/>
    <w:rsid w:val="65AE5147"/>
    <w:rsid w:val="65BE7D31"/>
    <w:rsid w:val="65BF3A9E"/>
    <w:rsid w:val="661F5855"/>
    <w:rsid w:val="669076F9"/>
    <w:rsid w:val="66AB31E1"/>
    <w:rsid w:val="66B8706A"/>
    <w:rsid w:val="66FB15B4"/>
    <w:rsid w:val="672441B4"/>
    <w:rsid w:val="677926E4"/>
    <w:rsid w:val="67DD24C7"/>
    <w:rsid w:val="67E8416A"/>
    <w:rsid w:val="67EA6BC2"/>
    <w:rsid w:val="680334F3"/>
    <w:rsid w:val="682208A9"/>
    <w:rsid w:val="68237BCA"/>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4A6904"/>
    <w:rsid w:val="6C942EFF"/>
    <w:rsid w:val="6CA30A4A"/>
    <w:rsid w:val="6CC20AAD"/>
    <w:rsid w:val="6D336A88"/>
    <w:rsid w:val="6E213D44"/>
    <w:rsid w:val="6E31117A"/>
    <w:rsid w:val="6E577F1F"/>
    <w:rsid w:val="6E98169E"/>
    <w:rsid w:val="6ECF4D75"/>
    <w:rsid w:val="6F197FCA"/>
    <w:rsid w:val="6F321D43"/>
    <w:rsid w:val="6F7577F6"/>
    <w:rsid w:val="6F9D3B6F"/>
    <w:rsid w:val="6FCD67E8"/>
    <w:rsid w:val="6FF30204"/>
    <w:rsid w:val="703D656E"/>
    <w:rsid w:val="7086434E"/>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64800"/>
    <w:rsid w:val="7B2159DF"/>
    <w:rsid w:val="7B2A7B68"/>
    <w:rsid w:val="7B3A2197"/>
    <w:rsid w:val="7B3F2D08"/>
    <w:rsid w:val="7B574318"/>
    <w:rsid w:val="7BAF50C0"/>
    <w:rsid w:val="7BB1141C"/>
    <w:rsid w:val="7BE01695"/>
    <w:rsid w:val="7C4F0A15"/>
    <w:rsid w:val="7C6D1CBF"/>
    <w:rsid w:val="7D0A232F"/>
    <w:rsid w:val="7D2F0738"/>
    <w:rsid w:val="7DA86D1B"/>
    <w:rsid w:val="7E6E5E8D"/>
    <w:rsid w:val="7EE06F21"/>
    <w:rsid w:val="7EEF7E0D"/>
    <w:rsid w:val="7F4850C4"/>
    <w:rsid w:val="7F6870F7"/>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2021-01-12T00:25:29Z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