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医疗废物转运识别器（扎带）采购项目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二四年七月</w:t>
      </w:r>
    </w:p>
    <w:p>
      <w:pPr>
        <w:ind w:firstLine="3080" w:firstLineChars="700"/>
        <w:jc w:val="both"/>
        <w:rPr>
          <w:rFonts w:hint="eastAsia" w:ascii="宋体" w:hAnsi="宋体" w:eastAsia="宋体" w:cs="宋体"/>
          <w:sz w:val="44"/>
          <w:szCs w:val="44"/>
          <w:lang w:val="en-US" w:eastAsia="zh-CN"/>
        </w:rPr>
      </w:pP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黄石市妇幼保健院就医疗废物转运识别器（扎带）遴选供应商项目采用竞争性谈判的方式招标采购，欢迎有符合条件的供应商前来投标。</w:t>
      </w: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1、项目名称：医疗废物转运识别器（扎带）遴选供应商项目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2、采购数量：据实结算；</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1、服务商具有有效期内营业执照(三证合一)；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四、报名时间：2024年7月29日-2024年8月1日（上午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五、标书递交截止时间及开标时间：2024年8月2日上午9：30；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2024年7月30日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3"/>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t>1、供应商所提供物品必须匹配医院医废智能转运车扫码识别，满足医疗废物收集封口及日常转运工作需求；</w:t>
      </w:r>
    </w:p>
    <w:p>
      <w:pPr>
        <w:jc w:val="both"/>
        <w:rPr>
          <w:rFonts w:hint="eastAsia"/>
          <w:b w:val="0"/>
          <w:bCs w:val="0"/>
          <w:sz w:val="28"/>
          <w:szCs w:val="28"/>
          <w:lang w:val="en-US" w:eastAsia="zh-CN"/>
        </w:rPr>
      </w:pPr>
      <w:r>
        <w:rPr>
          <w:rFonts w:hint="eastAsia"/>
          <w:b w:val="0"/>
          <w:bCs w:val="0"/>
          <w:sz w:val="28"/>
          <w:szCs w:val="28"/>
          <w:lang w:val="en-US" w:eastAsia="zh-CN"/>
        </w:rPr>
        <w:t>2、本项目处置费用结实结算，服务商提交处置费单价报价单（按每根进行报价）；</w:t>
      </w:r>
    </w:p>
    <w:p>
      <w:pPr>
        <w:jc w:val="both"/>
        <w:rPr>
          <w:rFonts w:hint="default"/>
          <w:b w:val="0"/>
          <w:bCs w:val="0"/>
          <w:sz w:val="28"/>
          <w:szCs w:val="28"/>
          <w:lang w:val="en-US" w:eastAsia="zh-CN"/>
        </w:rPr>
      </w:pPr>
      <w:r>
        <w:rPr>
          <w:rFonts w:hint="eastAsia"/>
          <w:b w:val="0"/>
          <w:bCs w:val="0"/>
          <w:sz w:val="28"/>
          <w:szCs w:val="28"/>
          <w:lang w:val="en-US" w:eastAsia="zh-CN"/>
        </w:rPr>
        <w:t>3、服务期：1年。</w:t>
      </w:r>
      <w:bookmarkStart w:id="0" w:name="_GoBack"/>
      <w:bookmarkEnd w:id="0"/>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pStyle w:val="3"/>
        <w:rPr>
          <w:rFonts w:hint="eastAsia"/>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3"/>
        <w:outlineLvl w:val="9"/>
        <w:rPr>
          <w:rFonts w:hint="eastAsia" w:ascii="宋体" w:hAnsi="宋体" w:eastAsia="宋体" w:cs="宋体"/>
          <w:color w:val="auto"/>
          <w:sz w:val="24"/>
          <w:szCs w:val="24"/>
          <w:highlight w:val="none"/>
          <w:u w:val="none"/>
        </w:rPr>
      </w:pPr>
    </w:p>
    <w:p>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3"/>
        <w:rPr>
          <w:rFonts w:hint="eastAsia"/>
          <w:bCs/>
          <w:sz w:val="32"/>
          <w:szCs w:val="32"/>
          <w:lang w:eastAsia="zh-CN"/>
        </w:rPr>
      </w:pPr>
    </w:p>
    <w:p>
      <w:pPr>
        <w:rPr>
          <w:rFonts w:hint="eastAsia"/>
          <w:lang w:eastAsia="zh-CN"/>
        </w:rPr>
      </w:pPr>
    </w:p>
    <w:p>
      <w:pPr>
        <w:pStyle w:val="3"/>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6505D7"/>
    <w:rsid w:val="08B17632"/>
    <w:rsid w:val="09041498"/>
    <w:rsid w:val="09420304"/>
    <w:rsid w:val="0979236C"/>
    <w:rsid w:val="0991730B"/>
    <w:rsid w:val="099D5FE5"/>
    <w:rsid w:val="09A25A3F"/>
    <w:rsid w:val="09C63218"/>
    <w:rsid w:val="09D11212"/>
    <w:rsid w:val="09F34C42"/>
    <w:rsid w:val="0A010929"/>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200A9"/>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7759C"/>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98064B"/>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7C0944"/>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2842</Words>
  <Characters>2966</Characters>
  <Lines>0</Lines>
  <Paragraphs>0</Paragraphs>
  <TotalTime>13</TotalTime>
  <ScaleCrop>false</ScaleCrop>
  <LinksUpToDate>false</LinksUpToDate>
  <CharactersWithSpaces>3881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2024-07-30T07:20:08Z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5624C7E5B4D04561B3944CD171F9B77D</vt:lpwstr>
  </property>
</Properties>
</file>