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5"/>
        <w:tabs>
          <w:tab w:val="left" w:pos="2520"/>
        </w:tabs>
        <w:spacing w:line="500" w:lineRule="exact"/>
        <w:rPr>
          <w:rFonts w:hAnsi="宋体" w:cs="宋体"/>
          <w:sz w:val="28"/>
          <w:szCs w:val="28"/>
        </w:rPr>
      </w:pPr>
    </w:p>
    <w:p>
      <w:pPr>
        <w:pStyle w:val="5"/>
        <w:tabs>
          <w:tab w:val="left" w:pos="2520"/>
        </w:tabs>
        <w:spacing w:line="500" w:lineRule="exact"/>
        <w:jc w:val="center"/>
        <w:rPr>
          <w:rFonts w:hAnsi="宋体" w:cs="宋体"/>
          <w:spacing w:val="14"/>
          <w:sz w:val="48"/>
          <w:szCs w:val="48"/>
        </w:rPr>
      </w:pPr>
    </w:p>
    <w:p>
      <w:pPr>
        <w:pStyle w:val="5"/>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5"/>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固本熏蒸床</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5"/>
        <w:tabs>
          <w:tab w:val="left" w:pos="2520"/>
        </w:tabs>
        <w:spacing w:line="500" w:lineRule="exact"/>
        <w:jc w:val="center"/>
        <w:rPr>
          <w:rFonts w:hAnsi="宋体" w:cs="宋体"/>
          <w:sz w:val="36"/>
          <w:szCs w:val="36"/>
        </w:rPr>
      </w:pPr>
    </w:p>
    <w:p>
      <w:pPr>
        <w:pStyle w:val="5"/>
        <w:tabs>
          <w:tab w:val="left" w:pos="2520"/>
        </w:tabs>
        <w:spacing w:line="500" w:lineRule="exact"/>
        <w:jc w:val="center"/>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pStyle w:val="5"/>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三</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0"/>
        <w:rPr>
          <w:rFonts w:ascii="宋体" w:hAnsi="宋体" w:cs="宋体"/>
        </w:rPr>
      </w:pPr>
      <w:bookmarkStart w:id="0" w:name="_Toc528493130"/>
      <w:bookmarkStart w:id="1" w:name="_Toc528493082"/>
      <w:bookmarkStart w:id="2" w:name="_Toc528493563"/>
      <w:bookmarkStart w:id="3" w:name="_Toc5284931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791"/>
      <w:bookmarkStart w:id="7" w:name="_Toc28359003"/>
      <w:bookmarkStart w:id="8" w:name="_Toc35393622"/>
      <w:r>
        <w:rPr>
          <w:rFonts w:hint="eastAsia" w:ascii="宋体" w:hAnsi="宋体" w:cs="宋体"/>
          <w:sz w:val="24"/>
          <w:lang w:val="zh-CN"/>
        </w:rPr>
        <w:t>根据鄂东医疗集团市妇幼保健院的需求，就固本熏蒸床采购项目以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547162"/>
      <w:bookmarkStart w:id="10" w:name="_Hlk55478066"/>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固本熏蒸床采购项目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9.5万元整（超过预算报价，视为无效投标）</w:t>
      </w:r>
    </w:p>
    <w:p>
      <w:pPr>
        <w:spacing w:line="420" w:lineRule="exact"/>
        <w:ind w:firstLine="480" w:firstLineChars="200"/>
        <w:rPr>
          <w:rFonts w:ascii="宋体" w:cs="宋体"/>
          <w:sz w:val="24"/>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val="en-US" w:eastAsia="zh-CN"/>
        </w:rPr>
        <w:t>2</w:t>
      </w:r>
      <w:r>
        <w:rPr>
          <w:rFonts w:hint="eastAsia" w:ascii="宋体" w:hAnsi="宋体" w:cs="宋体"/>
          <w:color w:val="FF0000"/>
          <w:sz w:val="24"/>
        </w:rPr>
        <w:t>台</w:t>
      </w:r>
    </w:p>
    <w:bookmarkEnd w:id="5"/>
    <w:bookmarkEnd w:id="6"/>
    <w:bookmarkEnd w:id="7"/>
    <w:bookmarkEnd w:id="8"/>
    <w:bookmarkEnd w:id="9"/>
    <w:bookmarkEnd w:id="10"/>
    <w:p>
      <w:pPr>
        <w:spacing w:line="420" w:lineRule="exact"/>
        <w:rPr>
          <w:rFonts w:ascii="宋体" w:cs="宋体"/>
          <w:b/>
          <w:bCs/>
          <w:color w:val="000000"/>
          <w:sz w:val="24"/>
        </w:rPr>
      </w:pPr>
      <w:bookmarkStart w:id="11" w:name="_Toc35393623"/>
      <w:bookmarkStart w:id="12" w:name="_Toc35393792"/>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28359084"/>
      <w:bookmarkStart w:id="16" w:name="_Toc28359007"/>
      <w:bookmarkStart w:id="17" w:name="_Toc35393794"/>
      <w:bookmarkStart w:id="18" w:name="_Toc35393625"/>
      <w:bookmarkStart w:id="19" w:name="_Toc528493131"/>
      <w:bookmarkStart w:id="20" w:name="_Toc528493164"/>
      <w:bookmarkStart w:id="21" w:name="_Toc528494275"/>
      <w:bookmarkStart w:id="22" w:name="_Toc528493576"/>
      <w:bookmarkStart w:id="23" w:name="_Toc528493083"/>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报名时间：2021年3月 29 日-2021年 3 月 31 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 xml:space="preserve">   2、递交标书及开标时间：2021年4 月 1日上午9:00；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3</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 xml:space="preserve"> 29 </w:t>
      </w:r>
      <w:r>
        <w:rPr>
          <w:rFonts w:hint="eastAsia" w:ascii="宋体" w:hAnsi="宋体" w:eastAsia="宋体" w:cs="宋体"/>
          <w:color w:val="000000"/>
          <w:sz w:val="24"/>
          <w:lang w:val="en-US" w:eastAsia="zh-CN"/>
        </w:rPr>
        <w:t>日</w:t>
      </w:r>
    </w:p>
    <w:bookmarkEnd w:id="15"/>
    <w:bookmarkEnd w:id="16"/>
    <w:bookmarkEnd w:id="17"/>
    <w:bookmarkEnd w:id="18"/>
    <w:p>
      <w:pPr>
        <w:pStyle w:val="10"/>
        <w:rPr>
          <w:rFonts w:ascii="宋体" w:hAnsi="宋体" w:cs="宋体"/>
        </w:rPr>
      </w:pPr>
    </w:p>
    <w:p>
      <w:pPr>
        <w:pStyle w:val="10"/>
        <w:rPr>
          <w:rFonts w:ascii="宋体" w:hAnsi="宋体" w:cs="宋体"/>
        </w:rPr>
      </w:pPr>
    </w:p>
    <w:p>
      <w:pPr>
        <w:pStyle w:val="10"/>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5"/>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5"/>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6"/>
          <w:rFonts w:ascii="宋体" w:hAnsi="宋体" w:cs="宋体"/>
          <w:sz w:val="24"/>
          <w:szCs w:val="24"/>
        </w:rPr>
      </w:pPr>
      <w:r>
        <w:rPr>
          <w:rFonts w:hint="eastAsia" w:ascii="宋体" w:hAnsi="宋体" w:cs="宋体"/>
          <w:b/>
          <w:bCs/>
          <w:sz w:val="24"/>
          <w:szCs w:val="24"/>
        </w:rPr>
        <w:t xml:space="preserve">2. </w:t>
      </w:r>
      <w:r>
        <w:rPr>
          <w:rStyle w:val="16"/>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6"/>
          <w:rFonts w:hint="eastAsia" w:ascii="宋体" w:hAnsi="宋体" w:cs="宋体"/>
          <w:sz w:val="24"/>
          <w:szCs w:val="24"/>
        </w:rPr>
        <w:t>磋商费用</w:t>
      </w:r>
    </w:p>
    <w:p>
      <w:pPr>
        <w:pStyle w:val="5"/>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5"/>
        <w:adjustRightInd w:val="0"/>
        <w:snapToGrid w:val="0"/>
        <w:spacing w:line="500" w:lineRule="exact"/>
        <w:rPr>
          <w:rFonts w:ascii="Cambria" w:hAnsi="宋体" w:cs="宋体"/>
          <w:b/>
          <w:bCs/>
          <w:kern w:val="28"/>
          <w:sz w:val="24"/>
          <w:szCs w:val="24"/>
        </w:rPr>
      </w:pPr>
      <w:r>
        <w:rPr>
          <w:rStyle w:val="16"/>
          <w:rFonts w:hint="eastAsia" w:hAnsi="宋体" w:cs="宋体"/>
          <w:sz w:val="24"/>
          <w:szCs w:val="24"/>
        </w:rPr>
        <w:t>二、磋商文件</w:t>
      </w:r>
      <w:bookmarkEnd w:id="25"/>
      <w:r>
        <w:rPr>
          <w:rStyle w:val="16"/>
          <w:rFonts w:hint="eastAsia" w:hAnsi="宋体" w:cs="宋体"/>
          <w:sz w:val="24"/>
          <w:szCs w:val="24"/>
        </w:rPr>
        <w:t>的澄清与修改</w:t>
      </w:r>
    </w:p>
    <w:p>
      <w:pPr>
        <w:pStyle w:val="5"/>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5"/>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5"/>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5"/>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6"/>
          <w:rFonts w:ascii="宋体" w:hAnsi="宋体" w:cs="宋体"/>
          <w:sz w:val="24"/>
          <w:szCs w:val="24"/>
        </w:rPr>
      </w:pPr>
      <w:bookmarkStart w:id="26" w:name="_Toc528494278"/>
      <w:r>
        <w:rPr>
          <w:rStyle w:val="16"/>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6"/>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6"/>
          <w:rFonts w:ascii="宋体" w:hAnsi="宋体" w:cs="宋体"/>
          <w:sz w:val="24"/>
          <w:szCs w:val="24"/>
        </w:rPr>
      </w:pPr>
      <w:bookmarkStart w:id="27" w:name="_Toc528493084"/>
      <w:bookmarkStart w:id="28" w:name="_Toc528493577"/>
      <w:bookmarkStart w:id="29" w:name="_Toc528493165"/>
      <w:bookmarkStart w:id="30" w:name="_Toc528494280"/>
      <w:bookmarkStart w:id="31" w:name="_Toc528493132"/>
      <w:r>
        <w:rPr>
          <w:rStyle w:val="16"/>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5"/>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5"/>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6"/>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6"/>
          <w:rFonts w:ascii="宋体" w:hAnsi="宋体" w:cs="宋体"/>
          <w:sz w:val="24"/>
          <w:szCs w:val="24"/>
        </w:rPr>
      </w:pPr>
      <w:bookmarkStart w:id="32" w:name="_Toc528494284"/>
      <w:r>
        <w:rPr>
          <w:rStyle w:val="16"/>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7"/>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12"/>
        <w:tblW w:w="950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215"/>
        <w:gridCol w:w="781"/>
        <w:gridCol w:w="63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121" w:type="dxa"/>
            <w:tcBorders>
              <w:tl2br w:val="nil"/>
              <w:tr2bl w:val="nil"/>
            </w:tcBorders>
            <w:shd w:val="clear" w:color="auto" w:fill="E6E0EC"/>
            <w:noWrap w:val="0"/>
            <w:vAlign w:val="center"/>
          </w:tcPr>
          <w:p>
            <w:pP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评审项目</w:t>
            </w:r>
          </w:p>
        </w:tc>
        <w:tc>
          <w:tcPr>
            <w:tcW w:w="1215"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评标分项</w:t>
            </w:r>
          </w:p>
        </w:tc>
        <w:tc>
          <w:tcPr>
            <w:tcW w:w="781"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项目分值</w:t>
            </w:r>
          </w:p>
        </w:tc>
        <w:tc>
          <w:tcPr>
            <w:tcW w:w="6390" w:type="dxa"/>
            <w:tcBorders>
              <w:tl2br w:val="nil"/>
              <w:tr2bl w:val="nil"/>
            </w:tcBorders>
            <w:shd w:val="clear" w:color="auto" w:fill="E6E0EC"/>
            <w:noWrap w:val="0"/>
            <w:vAlign w:val="center"/>
          </w:tcPr>
          <w:p>
            <w:pPr>
              <w:widowControl/>
              <w:jc w:val="center"/>
              <w:rPr>
                <w:rFonts w:hint="eastAsia" w:ascii="仿宋" w:hAnsi="仿宋" w:eastAsia="仿宋" w:cs="仿宋"/>
                <w:b/>
                <w:bCs/>
                <w:snapToGrid/>
                <w:color w:val="000000"/>
                <w:kern w:val="0"/>
                <w:sz w:val="21"/>
                <w:szCs w:val="21"/>
                <w:highlight w:val="none"/>
              </w:rPr>
            </w:pPr>
            <w:r>
              <w:rPr>
                <w:rFonts w:hint="eastAsia" w:ascii="仿宋" w:hAnsi="仿宋" w:eastAsia="仿宋" w:cs="仿宋"/>
                <w:b/>
                <w:bCs/>
                <w:snapToGrid/>
                <w:color w:val="000000"/>
                <w:kern w:val="0"/>
                <w:sz w:val="21"/>
                <w:szCs w:val="21"/>
                <w:highlight w:val="none"/>
              </w:rPr>
              <w:t>评审标准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12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价格部分（30分）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报价得分</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30分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lang w:eastAsia="zh-CN"/>
              </w:rPr>
            </w:pPr>
            <w:r>
              <w:rPr>
                <w:rFonts w:hint="eastAsia" w:ascii="仿宋" w:hAnsi="仿宋" w:eastAsia="仿宋" w:cs="仿宋"/>
                <w:color w:val="000000" w:themeColor="text1"/>
                <w:kern w:val="0"/>
                <w:sz w:val="21"/>
                <w:szCs w:val="21"/>
                <w:highlight w:val="none"/>
              </w:rPr>
              <w:t>价格分采用低价优先法计算，即满足招标文件要求且报价最低的投吧的价格为评标基准价（落实政府采购政策进行价格调整的，以调整后的价格计算），其价格分为满分。其他供应商的价格分统一按照下列公式计算：投标报价得分=(评标基准价（核算后）／投标报价（核算后）)×30%×100</w:t>
            </w:r>
            <w:r>
              <w:rPr>
                <w:rFonts w:hint="eastAsia" w:ascii="仿宋" w:hAnsi="仿宋" w:eastAsia="仿宋" w:cs="仿宋"/>
                <w:color w:val="000000" w:themeColor="text1"/>
                <w:kern w:val="0"/>
                <w:sz w:val="21"/>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技术部分（5</w:t>
            </w:r>
            <w:r>
              <w:rPr>
                <w:rFonts w:hint="eastAsia" w:ascii="仿宋" w:hAnsi="仿宋" w:eastAsia="仿宋" w:cs="仿宋"/>
                <w:snapToGrid/>
                <w:color w:val="000000" w:themeColor="text1"/>
                <w:kern w:val="0"/>
                <w:sz w:val="21"/>
                <w:szCs w:val="21"/>
                <w:highlight w:val="none"/>
                <w:lang w:val="en-US" w:eastAsia="zh-CN"/>
              </w:rPr>
              <w:t>8</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pStyle w:val="2"/>
              <w:jc w:val="cente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技术参数</w:t>
            </w:r>
          </w:p>
        </w:tc>
        <w:tc>
          <w:tcPr>
            <w:tcW w:w="781"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5</w:t>
            </w:r>
            <w:r>
              <w:rPr>
                <w:rFonts w:hint="eastAsia" w:ascii="仿宋" w:hAnsi="仿宋" w:eastAsia="仿宋" w:cs="仿宋"/>
                <w:snapToGrid/>
                <w:color w:val="000000" w:themeColor="text1"/>
                <w:kern w:val="0"/>
                <w:sz w:val="21"/>
                <w:szCs w:val="21"/>
                <w:highlight w:val="none"/>
              </w:rPr>
              <w:t>0分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投标产品技术规格符合招标文件要求，能完全满足使用要求得</w:t>
            </w:r>
            <w:r>
              <w:rPr>
                <w:rFonts w:hint="eastAsia" w:ascii="仿宋" w:hAnsi="仿宋" w:eastAsia="仿宋" w:cs="仿宋"/>
                <w:color w:val="000000" w:themeColor="text1"/>
                <w:kern w:val="0"/>
                <w:sz w:val="21"/>
                <w:szCs w:val="21"/>
                <w:highlight w:val="none"/>
                <w:lang w:val="en-US" w:eastAsia="zh-CN"/>
              </w:rPr>
              <w:t>5</w:t>
            </w:r>
            <w:r>
              <w:rPr>
                <w:rFonts w:hint="eastAsia" w:ascii="仿宋" w:hAnsi="仿宋" w:eastAsia="仿宋" w:cs="仿宋"/>
                <w:color w:val="000000" w:themeColor="text1"/>
                <w:kern w:val="0"/>
                <w:sz w:val="21"/>
                <w:szCs w:val="21"/>
                <w:highlight w:val="none"/>
              </w:rPr>
              <w:t>0分（本项最低得分为10分）。如设备参数及技术规格低于招标文件要求即为负偏离，每项非“★”号的一般参数负偏离减3分，每项带星号“★”的关键技术参数负偏离扣</w:t>
            </w:r>
            <w:r>
              <w:rPr>
                <w:rFonts w:hint="eastAsia" w:ascii="仿宋" w:hAnsi="仿宋" w:eastAsia="仿宋" w:cs="仿宋"/>
                <w:color w:val="000000" w:themeColor="text1"/>
                <w:kern w:val="0"/>
                <w:sz w:val="21"/>
                <w:szCs w:val="21"/>
                <w:highlight w:val="none"/>
                <w:lang w:val="en-US" w:eastAsia="zh-CN"/>
              </w:rPr>
              <w:t>6</w:t>
            </w:r>
            <w:r>
              <w:rPr>
                <w:rFonts w:hint="eastAsia" w:ascii="仿宋" w:hAnsi="仿宋" w:eastAsia="仿宋" w:cs="仿宋"/>
                <w:color w:val="000000" w:themeColor="text1"/>
                <w:kern w:val="0"/>
                <w:sz w:val="21"/>
                <w:szCs w:val="21"/>
                <w:highlight w:val="none"/>
              </w:rPr>
              <w:t xml:space="preserve">分。技术参数中参数须提供该产品制造商出具的技术白皮书（须由货物生产商或其直属机构盖章）或制造商公开发布的印刷资料作支持。如未在技术白皮书找到对应的参数证明，视为不满足招标文件要求。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设备选型的功能性、实用性</w:t>
            </w:r>
          </w:p>
        </w:tc>
        <w:tc>
          <w:tcPr>
            <w:tcW w:w="781" w:type="dxa"/>
            <w:tcBorders>
              <w:tl2br w:val="nil"/>
              <w:tr2bl w:val="nil"/>
            </w:tcBorders>
            <w:noWrap w:val="0"/>
            <w:vAlign w:val="center"/>
          </w:tcPr>
          <w:p>
            <w:pPr>
              <w:widowControl/>
              <w:spacing w:line="400" w:lineRule="exact"/>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分</w:t>
            </w:r>
          </w:p>
        </w:tc>
        <w:tc>
          <w:tcPr>
            <w:tcW w:w="6390" w:type="dxa"/>
            <w:tcBorders>
              <w:tl2br w:val="nil"/>
              <w:tr2bl w:val="nil"/>
            </w:tcBorders>
            <w:noWrap w:val="0"/>
            <w:vAlign w:val="center"/>
          </w:tcPr>
          <w:p>
            <w:pPr>
              <w:widowControl/>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根据投标产品选型的功能性实用性进行评议：</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产品选型合理，功能齐全和实用性强得</w:t>
            </w: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color w:val="000000" w:themeColor="text1"/>
                <w:sz w:val="21"/>
                <w:szCs w:val="21"/>
                <w:highlight w:val="none"/>
              </w:rPr>
              <w:t>分；</w:t>
            </w:r>
          </w:p>
          <w:p>
            <w:pPr>
              <w:widowControl/>
              <w:numPr>
                <w:ilvl w:val="0"/>
                <w:numId w:val="1"/>
              </w:numPr>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产品选型较合理，功能配置和实用性符合项目需求得</w:t>
            </w: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color w:val="000000" w:themeColor="text1"/>
                <w:sz w:val="21"/>
                <w:szCs w:val="21"/>
                <w:highlight w:val="none"/>
              </w:rPr>
              <w:t>分；</w:t>
            </w:r>
          </w:p>
          <w:p>
            <w:pPr>
              <w:pStyle w:val="2"/>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3、产品选型部分符合或不符合项目需求得</w:t>
            </w:r>
            <w:r>
              <w:rPr>
                <w:rFonts w:hint="eastAsia" w:ascii="仿宋" w:hAnsi="仿宋" w:eastAsia="仿宋" w:cs="仿宋"/>
                <w:color w:val="000000" w:themeColor="text1"/>
                <w:sz w:val="21"/>
                <w:szCs w:val="21"/>
                <w:highlight w:val="none"/>
                <w:lang w:val="en-US" w:eastAsia="zh-CN"/>
              </w:rPr>
              <w:t>1</w:t>
            </w:r>
            <w:r>
              <w:rPr>
                <w:rFonts w:hint="eastAsia" w:ascii="仿宋" w:hAnsi="仿宋" w:eastAsia="仿宋" w:cs="仿宋"/>
                <w:color w:val="000000" w:themeColor="text1"/>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售后服务</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3</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评标委员会根据各投标人提出的售后服务方案承诺的售后保障措施、响应时间、技术支持等内容进行综合评审，措施合理、售后响应时间快、技术服务完善得</w:t>
            </w:r>
            <w:r>
              <w:rPr>
                <w:rFonts w:hint="eastAsia" w:ascii="仿宋" w:hAnsi="仿宋" w:eastAsia="仿宋" w:cs="仿宋"/>
                <w:color w:val="000000" w:themeColor="text1"/>
                <w:kern w:val="0"/>
                <w:sz w:val="21"/>
                <w:szCs w:val="21"/>
                <w:highlight w:val="none"/>
                <w:lang w:val="en-US" w:eastAsia="zh-CN"/>
              </w:rPr>
              <w:t>3</w:t>
            </w:r>
            <w:r>
              <w:rPr>
                <w:rFonts w:hint="eastAsia" w:ascii="仿宋" w:hAnsi="仿宋" w:eastAsia="仿宋" w:cs="仿宋"/>
                <w:color w:val="000000" w:themeColor="text1"/>
                <w:kern w:val="0"/>
                <w:sz w:val="21"/>
                <w:szCs w:val="21"/>
                <w:highlight w:val="none"/>
              </w:rPr>
              <w:t>分；售后保障措施可行、响应时间和技术服务满足项目实际需求得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分；其他得</w:t>
            </w:r>
            <w:r>
              <w:rPr>
                <w:rFonts w:hint="eastAsia" w:ascii="仿宋" w:hAnsi="仿宋" w:eastAsia="仿宋" w:cs="仿宋"/>
                <w:color w:val="000000" w:themeColor="text1"/>
                <w:kern w:val="0"/>
                <w:sz w:val="21"/>
                <w:szCs w:val="21"/>
                <w:highlight w:val="none"/>
                <w:lang w:val="en-US" w:eastAsia="zh-CN"/>
              </w:rPr>
              <w:t>1</w:t>
            </w:r>
            <w:r>
              <w:rPr>
                <w:rFonts w:hint="eastAsia" w:ascii="仿宋" w:hAnsi="仿宋" w:eastAsia="仿宋" w:cs="仿宋"/>
                <w:color w:val="000000" w:themeColor="text1"/>
                <w:kern w:val="0"/>
                <w:sz w:val="21"/>
                <w:szCs w:val="21"/>
                <w:highlight w:val="none"/>
              </w:rPr>
              <w:t>分，未提供不得分。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1121" w:type="dxa"/>
            <w:vMerge w:val="continue"/>
            <w:tcBorders>
              <w:tl2br w:val="nil"/>
              <w:tr2bl w:val="nil"/>
            </w:tcBorders>
            <w:noWrap w:val="0"/>
            <w:vAlign w:val="center"/>
          </w:tcPr>
          <w:p>
            <w:pPr>
              <w:widowControl/>
              <w:jc w:val="left"/>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技术服务及培训</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lang w:val="en-US" w:eastAsia="zh-CN"/>
              </w:rPr>
              <w:t>2</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投标人针对本项目制定合理的培训方案，培训方案包括但不限于以下方面：</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1、有关设备的使用、维护和保养等方法；（以使操作人员具备独立进行操作、故障处理、日常测试和维护保养等工作的能力为目的）</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2、相关设备的操作培训计划；</w:t>
            </w:r>
          </w:p>
          <w:p>
            <w:pPr>
              <w:ind w:left="-4" w:leftChars="-2" w:firstLine="2" w:firstLineChars="1"/>
              <w:rPr>
                <w:rFonts w:hint="eastAsia" w:ascii="仿宋" w:hAnsi="仿宋" w:eastAsia="仿宋" w:cs="仿宋"/>
                <w:color w:val="000000" w:themeColor="text1"/>
                <w:sz w:val="21"/>
                <w:szCs w:val="21"/>
                <w:highlight w:val="none"/>
              </w:rPr>
            </w:pPr>
            <w:r>
              <w:rPr>
                <w:rFonts w:hint="eastAsia" w:ascii="仿宋" w:hAnsi="仿宋" w:eastAsia="仿宋" w:cs="仿宋"/>
                <w:color w:val="000000" w:themeColor="text1"/>
                <w:sz w:val="21"/>
                <w:szCs w:val="21"/>
                <w:highlight w:val="none"/>
              </w:rPr>
              <w:t>3、拟派出培训人员的基本情况介绍，应包括同类项目的培训和应用经验等内容；</w:t>
            </w:r>
          </w:p>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sz w:val="21"/>
                <w:szCs w:val="21"/>
                <w:highlight w:val="none"/>
              </w:rPr>
              <w:t>根据供应商提供的培训方案进行评分，存在缺陷或缺漏或未响应的扣1分，扣完为止。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121" w:type="dxa"/>
            <w:vMerge w:val="restart"/>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商务部分（</w:t>
            </w:r>
            <w:r>
              <w:rPr>
                <w:rFonts w:hint="eastAsia" w:ascii="仿宋" w:hAnsi="仿宋" w:eastAsia="仿宋" w:cs="仿宋"/>
                <w:snapToGrid/>
                <w:color w:val="000000" w:themeColor="text1"/>
                <w:kern w:val="0"/>
                <w:sz w:val="21"/>
                <w:szCs w:val="21"/>
                <w:highlight w:val="none"/>
                <w:lang w:val="en-US" w:eastAsia="zh-CN"/>
              </w:rPr>
              <w:t>12</w:t>
            </w:r>
            <w:r>
              <w:rPr>
                <w:rFonts w:hint="eastAsia" w:ascii="仿宋" w:hAnsi="仿宋" w:eastAsia="仿宋" w:cs="仿宋"/>
                <w:snapToGrid/>
                <w:color w:val="000000" w:themeColor="text1"/>
                <w:kern w:val="0"/>
                <w:sz w:val="21"/>
                <w:szCs w:val="21"/>
                <w:highlight w:val="none"/>
              </w:rPr>
              <w:t>分）</w:t>
            </w: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质保期</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2</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质保期满足招标文件要求，每增加一年加</w:t>
            </w:r>
            <w:r>
              <w:rPr>
                <w:rFonts w:hint="eastAsia" w:ascii="仿宋" w:hAnsi="仿宋" w:eastAsia="仿宋" w:cs="仿宋"/>
                <w:color w:val="000000" w:themeColor="text1"/>
                <w:kern w:val="0"/>
                <w:sz w:val="21"/>
                <w:szCs w:val="21"/>
                <w:highlight w:val="none"/>
                <w:lang w:val="en-US" w:eastAsia="zh-CN"/>
              </w:rPr>
              <w:t>1</w:t>
            </w:r>
            <w:r>
              <w:rPr>
                <w:rFonts w:hint="eastAsia" w:ascii="仿宋" w:hAnsi="仿宋" w:eastAsia="仿宋" w:cs="仿宋"/>
                <w:color w:val="000000" w:themeColor="text1"/>
                <w:kern w:val="0"/>
                <w:sz w:val="21"/>
                <w:szCs w:val="21"/>
                <w:highlight w:val="none"/>
              </w:rPr>
              <w:t>分，最多得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业绩要求</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lang w:val="en-US" w:eastAsia="zh-CN"/>
              </w:rPr>
              <w:t>8</w:t>
            </w:r>
            <w:r>
              <w:rPr>
                <w:rFonts w:hint="eastAsia" w:ascii="仿宋" w:hAnsi="仿宋" w:eastAsia="仿宋" w:cs="仿宋"/>
                <w:snapToGrid/>
                <w:color w:val="000000" w:themeColor="text1"/>
                <w:kern w:val="0"/>
                <w:sz w:val="21"/>
                <w:szCs w:val="21"/>
                <w:highlight w:val="none"/>
              </w:rPr>
              <w:t>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供应商或其所投标产品</w:t>
            </w:r>
            <w:r>
              <w:rPr>
                <w:rFonts w:hint="eastAsia" w:ascii="仿宋" w:hAnsi="仿宋" w:eastAsia="仿宋" w:cs="仿宋"/>
                <w:color w:val="000000" w:themeColor="text1"/>
                <w:kern w:val="0"/>
                <w:sz w:val="21"/>
                <w:szCs w:val="21"/>
                <w:highlight w:val="none"/>
                <w:lang w:eastAsia="zh-CN"/>
              </w:rPr>
              <w:t>近三年</w:t>
            </w:r>
            <w:r>
              <w:rPr>
                <w:rFonts w:hint="eastAsia" w:ascii="仿宋" w:hAnsi="仿宋" w:eastAsia="仿宋" w:cs="仿宋"/>
                <w:color w:val="000000" w:themeColor="text1"/>
                <w:kern w:val="0"/>
                <w:sz w:val="21"/>
                <w:szCs w:val="21"/>
                <w:highlight w:val="none"/>
              </w:rPr>
              <w:t>以来有类似产品业绩的每项业绩得</w:t>
            </w:r>
            <w:r>
              <w:rPr>
                <w:rFonts w:hint="eastAsia" w:ascii="仿宋" w:hAnsi="仿宋" w:eastAsia="仿宋" w:cs="仿宋"/>
                <w:color w:val="000000" w:themeColor="text1"/>
                <w:kern w:val="0"/>
                <w:sz w:val="21"/>
                <w:szCs w:val="21"/>
                <w:highlight w:val="none"/>
                <w:lang w:val="en-US" w:eastAsia="zh-CN"/>
              </w:rPr>
              <w:t>2</w:t>
            </w:r>
            <w:r>
              <w:rPr>
                <w:rFonts w:hint="eastAsia" w:ascii="仿宋" w:hAnsi="仿宋" w:eastAsia="仿宋" w:cs="仿宋"/>
                <w:color w:val="000000" w:themeColor="text1"/>
                <w:kern w:val="0"/>
                <w:sz w:val="21"/>
                <w:szCs w:val="21"/>
                <w:highlight w:val="none"/>
              </w:rPr>
              <w:t>分，最多得至</w:t>
            </w:r>
            <w:r>
              <w:rPr>
                <w:rFonts w:hint="eastAsia" w:ascii="仿宋" w:hAnsi="仿宋" w:eastAsia="仿宋" w:cs="仿宋"/>
                <w:color w:val="000000" w:themeColor="text1"/>
                <w:kern w:val="0"/>
                <w:sz w:val="21"/>
                <w:szCs w:val="21"/>
                <w:highlight w:val="none"/>
                <w:lang w:val="en-US" w:eastAsia="zh-CN"/>
              </w:rPr>
              <w:t>8</w:t>
            </w:r>
            <w:r>
              <w:rPr>
                <w:rFonts w:hint="eastAsia" w:ascii="仿宋" w:hAnsi="仿宋" w:eastAsia="仿宋" w:cs="仿宋"/>
                <w:color w:val="000000" w:themeColor="text1"/>
                <w:kern w:val="0"/>
                <w:sz w:val="21"/>
                <w:szCs w:val="21"/>
                <w:highlight w:val="none"/>
              </w:rPr>
              <w:t>分。</w:t>
            </w:r>
            <w:r>
              <w:rPr>
                <w:rFonts w:hint="eastAsia" w:ascii="仿宋" w:hAnsi="仿宋" w:eastAsia="仿宋" w:cs="仿宋"/>
                <w:color w:val="000000" w:themeColor="text1"/>
                <w:kern w:val="0"/>
                <w:sz w:val="21"/>
                <w:szCs w:val="21"/>
                <w:highlight w:val="none"/>
                <w:lang w:eastAsia="zh-CN"/>
              </w:rPr>
              <w:t>（</w:t>
            </w:r>
            <w:r>
              <w:rPr>
                <w:rFonts w:hint="eastAsia" w:ascii="仿宋" w:hAnsi="仿宋" w:eastAsia="仿宋" w:cs="仿宋"/>
                <w:color w:val="000000" w:themeColor="text1"/>
                <w:kern w:val="0"/>
                <w:sz w:val="21"/>
                <w:szCs w:val="21"/>
                <w:highlight w:val="none"/>
              </w:rPr>
              <w:t>提供合同或中标通知书或中标公示）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121" w:type="dxa"/>
            <w:vMerge w:val="continue"/>
            <w:tcBorders>
              <w:tl2br w:val="nil"/>
              <w:tr2bl w:val="nil"/>
            </w:tcBorders>
            <w:noWrap w:val="0"/>
            <w:vAlign w:val="center"/>
          </w:tcPr>
          <w:p>
            <w:pPr>
              <w:widowControl/>
              <w:rPr>
                <w:rFonts w:hint="eastAsia" w:ascii="仿宋" w:hAnsi="仿宋" w:eastAsia="仿宋" w:cs="仿宋"/>
                <w:snapToGrid/>
                <w:color w:val="000000" w:themeColor="text1"/>
                <w:kern w:val="0"/>
                <w:sz w:val="21"/>
                <w:szCs w:val="21"/>
                <w:highlight w:val="none"/>
              </w:rPr>
            </w:pPr>
          </w:p>
        </w:tc>
        <w:tc>
          <w:tcPr>
            <w:tcW w:w="1215" w:type="dxa"/>
            <w:tcBorders>
              <w:tl2br w:val="nil"/>
              <w:tr2bl w:val="nil"/>
            </w:tcBorders>
            <w:noWrap w:val="0"/>
            <w:vAlign w:val="center"/>
          </w:tcPr>
          <w:p>
            <w:pPr>
              <w:widowControl/>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color w:val="000000" w:themeColor="text1"/>
                <w:sz w:val="21"/>
                <w:szCs w:val="21"/>
                <w:highlight w:val="none"/>
              </w:rPr>
              <w:t>投标文件的编制</w:t>
            </w:r>
          </w:p>
        </w:tc>
        <w:tc>
          <w:tcPr>
            <w:tcW w:w="781" w:type="dxa"/>
            <w:tcBorders>
              <w:tl2br w:val="nil"/>
              <w:tr2bl w:val="nil"/>
            </w:tcBorders>
            <w:noWrap w:val="0"/>
            <w:vAlign w:val="center"/>
          </w:tcPr>
          <w:p>
            <w:pPr>
              <w:jc w:val="center"/>
              <w:rPr>
                <w:rFonts w:hint="eastAsia" w:ascii="仿宋" w:hAnsi="仿宋" w:eastAsia="仿宋" w:cs="仿宋"/>
                <w:snapToGrid/>
                <w:color w:val="000000" w:themeColor="text1"/>
                <w:kern w:val="0"/>
                <w:sz w:val="21"/>
                <w:szCs w:val="21"/>
                <w:highlight w:val="none"/>
              </w:rPr>
            </w:pPr>
            <w:r>
              <w:rPr>
                <w:rFonts w:hint="eastAsia" w:ascii="仿宋" w:hAnsi="仿宋" w:eastAsia="仿宋" w:cs="仿宋"/>
                <w:snapToGrid/>
                <w:color w:val="000000" w:themeColor="text1"/>
                <w:kern w:val="0"/>
                <w:sz w:val="21"/>
                <w:szCs w:val="21"/>
                <w:highlight w:val="none"/>
              </w:rPr>
              <w:t>2分</w:t>
            </w:r>
          </w:p>
        </w:tc>
        <w:tc>
          <w:tcPr>
            <w:tcW w:w="6390" w:type="dxa"/>
            <w:tcBorders>
              <w:tl2br w:val="nil"/>
              <w:tr2bl w:val="nil"/>
            </w:tcBorders>
            <w:noWrap w:val="0"/>
            <w:vAlign w:val="center"/>
          </w:tcPr>
          <w:p>
            <w:pPr>
              <w:pStyle w:val="2"/>
              <w:spacing w:after="0"/>
              <w:rPr>
                <w:rFonts w:hint="eastAsia" w:ascii="仿宋" w:hAnsi="仿宋" w:eastAsia="仿宋" w:cs="仿宋"/>
                <w:color w:val="000000" w:themeColor="text1"/>
                <w:kern w:val="0"/>
                <w:sz w:val="21"/>
                <w:szCs w:val="21"/>
                <w:highlight w:val="none"/>
              </w:rPr>
            </w:pPr>
            <w:r>
              <w:rPr>
                <w:rFonts w:hint="eastAsia" w:ascii="仿宋" w:hAnsi="仿宋" w:eastAsia="仿宋" w:cs="仿宋"/>
                <w:color w:val="000000" w:themeColor="text1"/>
                <w:kern w:val="0"/>
                <w:sz w:val="21"/>
                <w:szCs w:val="21"/>
                <w:highlight w:val="none"/>
              </w:rPr>
              <w:t>投标文件编制完整，格式规范、装订整齐、符合招标文件要求的得2 分。投标文件存在其他错漏的，每项（次）扣 0.5 分；投标文件有关内容前后矛盾、与招标文件要求不一致等，评标委员会允许且需要通过询标等程序进行澄清的，该项不得分。</w:t>
            </w:r>
          </w:p>
        </w:tc>
      </w:tr>
    </w:tbl>
    <w:p>
      <w:pPr>
        <w:pStyle w:val="5"/>
        <w:rPr>
          <w:rFonts w:hAnsi="宋体"/>
          <w:sz w:val="24"/>
          <w:szCs w:val="24"/>
        </w:rPr>
      </w:pPr>
      <w:bookmarkStart w:id="34" w:name="_Toc528493086"/>
      <w:bookmarkStart w:id="35" w:name="_Toc528493134"/>
      <w:bookmarkStart w:id="36" w:name="_Toc528494285"/>
      <w:bookmarkStart w:id="37" w:name="_Toc528493579"/>
      <w:bookmarkStart w:id="38" w:name="_Toc528493167"/>
    </w:p>
    <w:p>
      <w:pPr>
        <w:pStyle w:val="10"/>
        <w:rPr>
          <w:rFonts w:hint="eastAsia" w:ascii="宋体" w:hAnsi="宋体" w:cs="宋体"/>
        </w:rPr>
      </w:pPr>
    </w:p>
    <w:p>
      <w:pPr>
        <w:pStyle w:val="10"/>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固本熏蒸床采购项目；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9.5</w:t>
      </w:r>
      <w:r>
        <w:rPr>
          <w:rFonts w:hint="eastAsia" w:ascii="宋体" w:hAnsi="宋体" w:cs="宋体"/>
          <w:color w:val="000000" w:themeColor="text1"/>
          <w:sz w:val="24"/>
          <w:lang w:val="en-US" w:eastAsia="zh-CN"/>
        </w:rPr>
        <w:t>万元；</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w:t>
      </w:r>
      <w:r>
        <w:rPr>
          <w:rFonts w:hint="eastAsia" w:ascii="宋体" w:hAnsi="宋体" w:cs="宋体"/>
          <w:sz w:val="24"/>
        </w:rPr>
        <w:t>台</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不少于两年</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8</w:t>
      </w:r>
      <w:r>
        <w:rPr>
          <w:rFonts w:ascii="宋体" w:hAnsi="宋体" w:cs="宋体"/>
          <w:sz w:val="24"/>
        </w:rPr>
        <w:t>.</w:t>
      </w:r>
      <w:r>
        <w:rPr>
          <w:rFonts w:hint="eastAsia" w:ascii="宋体" w:hAnsi="宋体" w:cs="宋体"/>
          <w:sz w:val="24"/>
        </w:rPr>
        <w:t>质量要求：符合国家管理、质检部门合格标准</w:t>
      </w:r>
      <w:bookmarkStart w:id="39" w:name="_Toc528493135"/>
      <w:bookmarkStart w:id="40" w:name="_Toc528493580"/>
      <w:bookmarkStart w:id="41" w:name="_Toc528493087"/>
      <w:bookmarkStart w:id="42" w:name="_Hlk18936003"/>
      <w:bookmarkStart w:id="43" w:name="_Toc528493168"/>
      <w:bookmarkStart w:id="44" w:name="_Toc528494286"/>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2"/>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220"/>
        <w:gridCol w:w="870"/>
        <w:gridCol w:w="990"/>
        <w:gridCol w:w="208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56" w:type="dxa"/>
            <w:gridSpan w:val="5"/>
            <w:noWrap w:val="0"/>
            <w:vAlign w:val="center"/>
          </w:tcPr>
          <w:p>
            <w:pPr>
              <w:adjustRightInd w:val="0"/>
              <w:snapToGrid w:val="0"/>
              <w:ind w:left="195"/>
              <w:jc w:val="center"/>
              <w:rPr>
                <w:rFonts w:hint="eastAsia" w:ascii="宋体" w:hAnsi="宋体"/>
                <w:b/>
                <w:szCs w:val="21"/>
              </w:rPr>
            </w:pPr>
            <w:r>
              <w:rPr>
                <w:rFonts w:hint="eastAsia" w:ascii="宋体" w:hAnsi="宋体" w:eastAsia="宋体"/>
                <w:szCs w:val="21"/>
                <w:lang w:eastAsia="zh-CN"/>
              </w:rPr>
              <w:t>固本熏蒸床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220" w:type="dxa"/>
            <w:noWrap w:val="0"/>
            <w:vAlign w:val="center"/>
          </w:tcPr>
          <w:p>
            <w:pPr>
              <w:adjustRightInd w:val="0"/>
              <w:snapToGrid w:val="0"/>
              <w:ind w:firstLine="420" w:firstLineChars="200"/>
              <w:jc w:val="left"/>
              <w:rPr>
                <w:rFonts w:hint="eastAsia" w:ascii="宋体" w:hAnsi="宋体" w:eastAsia="宋体"/>
                <w:szCs w:val="21"/>
                <w:lang w:eastAsia="zh-CN"/>
              </w:rPr>
            </w:pPr>
            <w:bookmarkStart w:id="45" w:name="_GoBack"/>
            <w:bookmarkEnd w:id="45"/>
          </w:p>
        </w:tc>
        <w:tc>
          <w:tcPr>
            <w:tcW w:w="87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9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208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091"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原理：通过透皮吸收给药，由热力和药物作用将蒸汽中有效的中药离子透过皮肤表层吸收，转运进入血液循环而发挥药理。</w:t>
            </w:r>
          </w:p>
          <w:p>
            <w:pPr>
              <w:widowControl/>
              <w:jc w:val="left"/>
              <w:rPr>
                <w:rFonts w:hint="eastAsia" w:ascii="宋体" w:hAnsi="宋体" w:cs="宋体"/>
                <w:b w:val="0"/>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r>
              <w:rPr>
                <w:rFonts w:hint="eastAsia" w:ascii="宋体" w:hAnsi="宋体" w:cs="宋体"/>
                <w:b w:val="0"/>
                <w:bCs/>
                <w:i w:val="0"/>
                <w:color w:val="000000"/>
                <w:kern w:val="0"/>
                <w:sz w:val="22"/>
                <w:szCs w:val="22"/>
                <w:u w:val="none"/>
                <w:lang w:val="en-US" w:eastAsia="zh-CN" w:bidi="ar"/>
              </w:rPr>
              <w:t>固本熏蒸床：1*2床；操作台：1*2台；保险丝：3*2个；进、出水管：各1*2套；垫子：1*2床；连接线：1*2根；空状隔板：1*2块；被单：1*2床</w:t>
            </w:r>
          </w:p>
          <w:p>
            <w:pPr>
              <w:widowControl/>
              <w:jc w:val="left"/>
              <w:rPr>
                <w:rFonts w:hint="default" w:ascii="宋体" w:hAnsi="宋体" w:cs="宋体"/>
                <w:b w:val="0"/>
                <w:bCs/>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2"/>
              </w:numPr>
              <w:ind w:leftChars="0"/>
              <w:rPr>
                <w:rFonts w:hint="eastAsia" w:ascii="Arial" w:hAnsi="Arial" w:cs="Arial"/>
                <w:sz w:val="21"/>
                <w:szCs w:val="21"/>
                <w:lang w:eastAsia="zh-CN"/>
              </w:rPr>
            </w:pPr>
            <w:r>
              <w:rPr>
                <w:rFonts w:hint="eastAsia" w:ascii="宋体" w:hAnsi="宋体" w:cs="宋体"/>
                <w:i w:val="0"/>
                <w:color w:val="000000"/>
                <w:kern w:val="0"/>
                <w:sz w:val="21"/>
                <w:szCs w:val="21"/>
                <w:u w:val="none"/>
                <w:lang w:val="en-US" w:eastAsia="zh-CN" w:bidi="ar"/>
              </w:rPr>
              <w:t>电源：</w:t>
            </w:r>
            <w:r>
              <w:rPr>
                <w:rFonts w:hint="eastAsia" w:ascii="Arial" w:hAnsi="Arial" w:cs="Arial"/>
                <w:sz w:val="21"/>
                <w:szCs w:val="21"/>
              </w:rPr>
              <w:t>AC 220V</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电源频率</w:t>
            </w:r>
            <w:r>
              <w:rPr>
                <w:rFonts w:hint="eastAsia" w:ascii="Arial" w:hAnsi="Arial" w:cs="Arial"/>
                <w:sz w:val="21"/>
                <w:szCs w:val="21"/>
                <w:lang w:eastAsia="zh-CN"/>
              </w:rPr>
              <w:t>：</w:t>
            </w:r>
            <w:r>
              <w:rPr>
                <w:rFonts w:hint="eastAsia" w:ascii="Arial" w:hAnsi="Arial" w:cs="Arial"/>
                <w:sz w:val="21"/>
                <w:szCs w:val="21"/>
              </w:rPr>
              <w:t>50Hz</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输入功率</w:t>
            </w:r>
            <w:r>
              <w:rPr>
                <w:rFonts w:hint="eastAsia" w:ascii="Arial" w:hAnsi="Arial" w:cs="Arial"/>
                <w:sz w:val="21"/>
                <w:szCs w:val="21"/>
                <w:lang w:eastAsia="zh-CN"/>
              </w:rPr>
              <w:t>：</w:t>
            </w:r>
            <w:r>
              <w:rPr>
                <w:rFonts w:hint="eastAsia" w:ascii="Arial" w:hAnsi="Arial" w:cs="Arial"/>
                <w:sz w:val="21"/>
                <w:szCs w:val="21"/>
              </w:rPr>
              <w:t>2300VA</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宋体" w:hAnsi="宋体" w:cs="宋体"/>
                <w:i w:val="0"/>
                <w:color w:val="000000"/>
                <w:kern w:val="0"/>
                <w:sz w:val="21"/>
                <w:szCs w:val="21"/>
                <w:u w:val="none"/>
                <w:lang w:val="en-US" w:eastAsia="zh-CN" w:bidi="ar"/>
              </w:rPr>
              <w:t>温度调节：</w:t>
            </w:r>
            <w:r>
              <w:rPr>
                <w:rFonts w:hint="eastAsia" w:ascii="Arial" w:hAnsi="Arial" w:cs="Arial"/>
                <w:sz w:val="21"/>
                <w:szCs w:val="21"/>
              </w:rPr>
              <w:t>熏蒸温度可在35～70℃范围内调节</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宋体" w:hAnsi="宋体" w:cs="宋体"/>
                <w:i w:val="0"/>
                <w:color w:val="000000"/>
                <w:kern w:val="0"/>
                <w:sz w:val="21"/>
                <w:szCs w:val="21"/>
                <w:u w:val="none"/>
                <w:lang w:val="en-US" w:eastAsia="zh-CN" w:bidi="ar"/>
              </w:rPr>
              <w:t>时间调节：</w:t>
            </w:r>
            <w:r>
              <w:rPr>
                <w:rFonts w:hint="eastAsia" w:ascii="Arial" w:hAnsi="Arial" w:cs="Arial"/>
                <w:sz w:val="21"/>
                <w:szCs w:val="21"/>
              </w:rPr>
              <w:t>可在1～99min范围内调节，在水量充足的情况下，连续工作时间不少于8个小时</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蒸汽发生器容积</w:t>
            </w:r>
            <w:r>
              <w:rPr>
                <w:rFonts w:hint="eastAsia" w:ascii="Arial" w:hAnsi="Arial" w:cs="Arial"/>
                <w:sz w:val="21"/>
                <w:szCs w:val="21"/>
                <w:lang w:eastAsia="zh-CN"/>
              </w:rPr>
              <w:t>：</w:t>
            </w:r>
            <w:r>
              <w:rPr>
                <w:rFonts w:hint="eastAsia" w:ascii="Arial" w:hAnsi="Arial" w:cs="Arial"/>
                <w:sz w:val="21"/>
                <w:szCs w:val="21"/>
              </w:rPr>
              <w:t>蒸汽发生器容积≥3000ml，最大熏蒸量≥650ml/h</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lang w:eastAsia="zh-CN"/>
              </w:rPr>
              <w:t>工作噪音：</w:t>
            </w:r>
            <w:r>
              <w:rPr>
                <w:rFonts w:hint="eastAsia" w:ascii="Arial" w:hAnsi="Arial" w:cs="Arial"/>
                <w:sz w:val="21"/>
                <w:szCs w:val="21"/>
              </w:rPr>
              <w:t>≤65dB</w:t>
            </w:r>
            <w:r>
              <w:rPr>
                <w:rFonts w:hint="eastAsia" w:ascii="Arial" w:hAnsi="Arial" w:cs="Arial"/>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4A84"/>
    <w:multiLevelType w:val="singleLevel"/>
    <w:tmpl w:val="808C4A84"/>
    <w:lvl w:ilvl="0" w:tentative="0">
      <w:start w:val="1"/>
      <w:numFmt w:val="decimal"/>
      <w:suff w:val="nothing"/>
      <w:lvlText w:val="%1、"/>
      <w:lvlJc w:val="left"/>
    </w:lvl>
  </w:abstractNum>
  <w:abstractNum w:abstractNumId="1">
    <w:nsid w:val="00000017"/>
    <w:multiLevelType w:val="singleLevel"/>
    <w:tmpl w:val="0000001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FDB5204"/>
    <w:rsid w:val="0FFD1525"/>
    <w:rsid w:val="164E3296"/>
    <w:rsid w:val="18D655C1"/>
    <w:rsid w:val="19B5718D"/>
    <w:rsid w:val="1C5E3C65"/>
    <w:rsid w:val="1DD75E51"/>
    <w:rsid w:val="29206C33"/>
    <w:rsid w:val="29B528D3"/>
    <w:rsid w:val="29E32F07"/>
    <w:rsid w:val="2E7B5E33"/>
    <w:rsid w:val="315E3248"/>
    <w:rsid w:val="32791E67"/>
    <w:rsid w:val="32AB65C9"/>
    <w:rsid w:val="34771EDC"/>
    <w:rsid w:val="349156AF"/>
    <w:rsid w:val="43927C81"/>
    <w:rsid w:val="444F1683"/>
    <w:rsid w:val="445760DF"/>
    <w:rsid w:val="44AC4AE9"/>
    <w:rsid w:val="45940BE3"/>
    <w:rsid w:val="4F865F47"/>
    <w:rsid w:val="54B24A6E"/>
    <w:rsid w:val="58EE244C"/>
    <w:rsid w:val="5C1C7E73"/>
    <w:rsid w:val="60EB55DA"/>
    <w:rsid w:val="61BE3442"/>
    <w:rsid w:val="666979DA"/>
    <w:rsid w:val="68442A0A"/>
    <w:rsid w:val="692D1312"/>
    <w:rsid w:val="69EE499A"/>
    <w:rsid w:val="6BBC104F"/>
    <w:rsid w:val="6E6E3EF2"/>
    <w:rsid w:val="6FFD4587"/>
    <w:rsid w:val="73EB54D8"/>
    <w:rsid w:val="750E5531"/>
    <w:rsid w:val="764F0B5A"/>
    <w:rsid w:val="76994FB4"/>
    <w:rsid w:val="77662248"/>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Body Text Indent"/>
    <w:basedOn w:val="1"/>
    <w:link w:val="19"/>
    <w:semiHidden/>
    <w:unhideWhenUsed/>
    <w:qFormat/>
    <w:uiPriority w:val="99"/>
    <w:pPr>
      <w:spacing w:after="120"/>
      <w:ind w:left="420" w:leftChars="200"/>
    </w:pPr>
  </w:style>
  <w:style w:type="paragraph" w:styleId="5">
    <w:name w:val="Plain Text"/>
    <w:basedOn w:val="1"/>
    <w:link w:val="18"/>
    <w:qFormat/>
    <w:uiPriority w:val="99"/>
    <w:rPr>
      <w:rFonts w:ascii="宋体" w:hAnsi="Courier New" w:cstheme="minorBidi"/>
      <w:szCs w:val="22"/>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Subtitle"/>
    <w:basedOn w:val="1"/>
    <w:next w:val="1"/>
    <w:link w:val="16"/>
    <w:qFormat/>
    <w:uiPriority w:val="0"/>
    <w:pPr>
      <w:spacing w:before="240" w:after="60" w:line="312" w:lineRule="auto"/>
      <w:jc w:val="center"/>
      <w:outlineLvl w:val="1"/>
    </w:pPr>
    <w:rPr>
      <w:rFonts w:ascii="Cambria" w:hAnsi="Cambria" w:eastAsiaTheme="minorEastAsia"/>
      <w:b/>
      <w:bCs/>
      <w:kern w:val="28"/>
      <w:sz w:val="32"/>
      <w:szCs w:val="32"/>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paragraph" w:styleId="10">
    <w:name w:val="Title"/>
    <w:basedOn w:val="1"/>
    <w:next w:val="1"/>
    <w:link w:val="17"/>
    <w:qFormat/>
    <w:uiPriority w:val="0"/>
    <w:pPr>
      <w:spacing w:before="240" w:after="60"/>
      <w:jc w:val="center"/>
      <w:outlineLvl w:val="0"/>
    </w:pPr>
    <w:rPr>
      <w:rFonts w:ascii="Cambria" w:hAnsi="Cambria" w:eastAsiaTheme="minorEastAsia"/>
      <w:b/>
      <w:bCs/>
      <w:sz w:val="32"/>
      <w:szCs w:val="32"/>
    </w:rPr>
  </w:style>
  <w:style w:type="paragraph" w:styleId="11">
    <w:name w:val="Body Text First Indent 2"/>
    <w:basedOn w:val="4"/>
    <w:link w:val="20"/>
    <w:qFormat/>
    <w:uiPriority w:val="0"/>
    <w:pPr>
      <w:tabs>
        <w:tab w:val="left" w:pos="720"/>
      </w:tabs>
      <w:ind w:firstLine="420" w:firstLineChars="200"/>
    </w:pPr>
    <w:rPr>
      <w:rFonts w:ascii="宋体" w:hAnsi="宋体"/>
      <w:color w:val="000000"/>
    </w:rPr>
  </w:style>
  <w:style w:type="character" w:customStyle="1" w:styleId="14">
    <w:name w:val="页眉 字符"/>
    <w:basedOn w:val="13"/>
    <w:link w:val="7"/>
    <w:qFormat/>
    <w:uiPriority w:val="0"/>
    <w:rPr>
      <w:sz w:val="18"/>
      <w:szCs w:val="18"/>
    </w:rPr>
  </w:style>
  <w:style w:type="character" w:customStyle="1" w:styleId="15">
    <w:name w:val="页脚 字符"/>
    <w:basedOn w:val="13"/>
    <w:link w:val="6"/>
    <w:qFormat/>
    <w:uiPriority w:val="0"/>
    <w:rPr>
      <w:sz w:val="18"/>
      <w:szCs w:val="18"/>
    </w:rPr>
  </w:style>
  <w:style w:type="character" w:customStyle="1" w:styleId="16">
    <w:name w:val="副标题 字符"/>
    <w:link w:val="8"/>
    <w:qFormat/>
    <w:uiPriority w:val="0"/>
    <w:rPr>
      <w:rFonts w:ascii="Cambria" w:hAnsi="Cambria" w:cs="Times New Roman"/>
      <w:b/>
      <w:bCs/>
      <w:kern w:val="28"/>
      <w:sz w:val="32"/>
      <w:szCs w:val="32"/>
    </w:rPr>
  </w:style>
  <w:style w:type="character" w:customStyle="1" w:styleId="17">
    <w:name w:val="标题 字符"/>
    <w:link w:val="10"/>
    <w:qFormat/>
    <w:uiPriority w:val="0"/>
    <w:rPr>
      <w:rFonts w:ascii="Cambria" w:hAnsi="Cambria" w:cs="Times New Roman"/>
      <w:b/>
      <w:bCs/>
      <w:sz w:val="32"/>
      <w:szCs w:val="32"/>
    </w:rPr>
  </w:style>
  <w:style w:type="character" w:customStyle="1" w:styleId="18">
    <w:name w:val="纯文本 字符"/>
    <w:link w:val="5"/>
    <w:qFormat/>
    <w:locked/>
    <w:uiPriority w:val="99"/>
    <w:rPr>
      <w:rFonts w:ascii="宋体" w:hAnsi="Courier New" w:eastAsia="宋体"/>
    </w:rPr>
  </w:style>
  <w:style w:type="character" w:customStyle="1" w:styleId="19">
    <w:name w:val="正文文本缩进 字符"/>
    <w:basedOn w:val="13"/>
    <w:link w:val="4"/>
    <w:semiHidden/>
    <w:qFormat/>
    <w:uiPriority w:val="99"/>
    <w:rPr>
      <w:rFonts w:ascii="Times New Roman" w:hAnsi="Times New Roman" w:eastAsia="宋体" w:cs="Times New Roman"/>
      <w:szCs w:val="20"/>
    </w:rPr>
  </w:style>
  <w:style w:type="character" w:customStyle="1" w:styleId="20">
    <w:name w:val="正文文本首行缩进 2 字符"/>
    <w:basedOn w:val="19"/>
    <w:link w:val="11"/>
    <w:qFormat/>
    <w:uiPriority w:val="0"/>
    <w:rPr>
      <w:rFonts w:ascii="宋体" w:hAnsi="宋体" w:eastAsia="宋体" w:cs="Times New Roman"/>
      <w:color w:val="000000"/>
      <w:szCs w:val="20"/>
    </w:rPr>
  </w:style>
  <w:style w:type="character" w:customStyle="1" w:styleId="21">
    <w:name w:val="副标题 字符1"/>
    <w:basedOn w:val="13"/>
    <w:qFormat/>
    <w:uiPriority w:val="11"/>
    <w:rPr>
      <w:b/>
      <w:bCs/>
      <w:kern w:val="28"/>
      <w:sz w:val="32"/>
      <w:szCs w:val="32"/>
    </w:rPr>
  </w:style>
  <w:style w:type="character" w:customStyle="1" w:styleId="22">
    <w:name w:val="标题 字符1"/>
    <w:basedOn w:val="13"/>
    <w:qFormat/>
    <w:uiPriority w:val="10"/>
    <w:rPr>
      <w:rFonts w:asciiTheme="majorHAnsi" w:hAnsiTheme="majorHAnsi" w:eastAsiaTheme="majorEastAsia" w:cstheme="majorBidi"/>
      <w:b/>
      <w:bCs/>
      <w:sz w:val="32"/>
      <w:szCs w:val="32"/>
    </w:rPr>
  </w:style>
  <w:style w:type="character" w:customStyle="1" w:styleId="23">
    <w:name w:val="纯文本 字符1"/>
    <w:basedOn w:val="13"/>
    <w:semiHidden/>
    <w:qFormat/>
    <w:uiPriority w:val="99"/>
    <w:rPr>
      <w:rFonts w:hAnsi="Courier New" w:cs="Courier New" w:asciiTheme="minorEastAsia"/>
      <w:szCs w:val="20"/>
    </w:rPr>
  </w:style>
  <w:style w:type="character" w:customStyle="1" w:styleId="24">
    <w:name w:val="标题 1 字符"/>
    <w:basedOn w:val="13"/>
    <w:link w:val="3"/>
    <w:qFormat/>
    <w:uiPriority w:val="9"/>
    <w:rPr>
      <w:rFonts w:ascii="Times New Roman" w:hAnsi="Times New Roman" w:eastAsia="宋体" w:cs="Times New Roman"/>
      <w:b/>
      <w:bCs/>
      <w:kern w:val="44"/>
      <w:sz w:val="44"/>
      <w:szCs w:val="44"/>
    </w:rPr>
  </w:style>
  <w:style w:type="paragraph" w:customStyle="1" w:styleId="25">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6">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171</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abc</cp:lastModifiedBy>
  <dcterms:modified xsi:type="dcterms:W3CDTF">2021-03-29T08:01:04Z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