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jc w:val="center"/>
        <w:rPr>
          <w:rFonts w:hint="eastAsia" w:ascii="微软雅黑" w:hAnsi="微软雅黑" w:eastAsia="微软雅黑" w:cs="微软雅黑"/>
          <w:i w:val="0"/>
          <w:caps w:val="0"/>
          <w:color w:val="000000"/>
          <w:spacing w:val="0"/>
          <w:sz w:val="28"/>
          <w:szCs w:val="28"/>
          <w:shd w:val="clear" w:fill="FFFFFF"/>
          <w:lang w:val="en-US" w:eastAsia="zh-CN"/>
        </w:rPr>
      </w:pPr>
      <w:r>
        <w:rPr>
          <w:rFonts w:hint="eastAsia" w:ascii="微软雅黑" w:hAnsi="微软雅黑" w:eastAsia="微软雅黑" w:cs="微软雅黑"/>
          <w:i w:val="0"/>
          <w:caps w:val="0"/>
          <w:color w:val="000000"/>
          <w:spacing w:val="0"/>
          <w:sz w:val="28"/>
          <w:szCs w:val="28"/>
          <w:shd w:val="clear" w:fill="FFFFFF"/>
          <w:lang w:val="en-US" w:eastAsia="zh-CN"/>
        </w:rPr>
        <w:t>鄂东医疗集团市妇幼保健院消防系统维保项目招标公告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20" w:firstLineChars="200"/>
        <w:rPr>
          <w:rFonts w:hint="default"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第一部分   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鄂东医疗集团市妇幼保健院就消防系统维保项目采用竞争性谈判的方式进行招标，欢迎符合条件的供应商前来投标。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一、项目名称：鄂东医疗集团市妇幼保健院消防系统维保项目；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二、项目预算：3.2万元整/年；（投标价超过预算，视为无效投标）；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rPr>
          <w:rFonts w:hint="default" w:ascii="新宋体" w:hAnsi="新宋体" w:eastAsia="新宋体" w:cs="宋体"/>
          <w:b w:val="0"/>
          <w:bCs w:val="0"/>
          <w:color w:val="000000" w:themeColor="text1"/>
          <w:kern w:val="0"/>
          <w:sz w:val="24"/>
          <w:szCs w:val="24"/>
          <w:lang w:val="en-US" w:eastAsia="zh-CN" w:bidi="ar-SA"/>
          <w14:textFill>
            <w14:solidFill>
              <w14:schemeClr w14:val="tx1"/>
            </w14:solidFill>
          </w14:textFill>
        </w:rPr>
      </w:pPr>
      <w:r>
        <w:rPr>
          <w:rFonts w:hint="eastAsia" w:ascii="新宋体" w:hAnsi="新宋体" w:eastAsia="新宋体" w:cs="宋体"/>
          <w:b w:val="0"/>
          <w:bCs w:val="0"/>
          <w:color w:val="000000"/>
          <w:kern w:val="0"/>
          <w:sz w:val="24"/>
          <w:szCs w:val="24"/>
          <w:lang w:val="en-US" w:eastAsia="zh-CN" w:bidi="ar-SA"/>
        </w:rPr>
        <w:t>三、</w:t>
      </w:r>
      <w:r>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t>项目维保服务期限：2年，合同每年签订一次；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四、采购需求见招标文件项目需求；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五、供应商资格要求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1、投标单位应具备独立法人资格，同时具有消防维修保养企业二级及以上资质证、消防设施维修保养人员资格证；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2、投标单位应具备丰富的维修保养经验及良好的社会信誉；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3、符合消防检测资质认定证书及出具年度检验报告；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4、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5、提供该类似项目的近三年业绩（和其它医院签订的合同或者中标通知书）；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6、本项目不接受联合体投标；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pPr>
      <w:r>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t>注明：如维保配件更换费用在200元内的配件，如烟感、温感、声光、手报、消火栓按钮、模块、打印纸、疏散指示牌及</w:t>
      </w:r>
      <w:bookmarkStart w:id="0" w:name="_GoBack"/>
      <w:bookmarkEnd w:id="0"/>
      <w:r>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t>安全出口、消防箱玻璃、继电器等（除人为损坏）由中标供应商承担。</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六、报名地点：凡有意参加投标者，请携带有效期内的营业执照、税务登记证、组织机构代码证（三证合一只需提供营业执照）及相关资质到黄石市妇幼保健院3号楼206办公室报名。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七、报名时间：2021年4月6 日-2021年4月 8 日（上午</w:t>
      </w:r>
      <w:r>
        <w:rPr>
          <w:rFonts w:hint="default" w:ascii="新宋体" w:hAnsi="新宋体" w:eastAsia="新宋体" w:cs="宋体"/>
          <w:b w:val="0"/>
          <w:bCs w:val="0"/>
          <w:color w:val="000000"/>
          <w:kern w:val="0"/>
          <w:sz w:val="24"/>
          <w:szCs w:val="24"/>
          <w:lang w:val="en-US" w:eastAsia="zh-CN" w:bidi="ar-SA"/>
        </w:rPr>
        <w:t>8：</w:t>
      </w:r>
      <w:r>
        <w:rPr>
          <w:rFonts w:hint="eastAsia" w:ascii="新宋体" w:hAnsi="新宋体" w:eastAsia="新宋体" w:cs="宋体"/>
          <w:b w:val="0"/>
          <w:bCs w:val="0"/>
          <w:color w:val="000000"/>
          <w:kern w:val="0"/>
          <w:sz w:val="24"/>
          <w:szCs w:val="24"/>
          <w:lang w:val="en-US" w:eastAsia="zh-CN" w:bidi="ar-SA"/>
        </w:rPr>
        <w:t>0</w:t>
      </w:r>
      <w:r>
        <w:rPr>
          <w:rFonts w:hint="default" w:ascii="新宋体" w:hAnsi="新宋体" w:eastAsia="新宋体" w:cs="宋体"/>
          <w:b w:val="0"/>
          <w:bCs w:val="0"/>
          <w:color w:val="000000"/>
          <w:kern w:val="0"/>
          <w:sz w:val="24"/>
          <w:szCs w:val="24"/>
          <w:lang w:val="en-US" w:eastAsia="zh-CN" w:bidi="ar-SA"/>
        </w:rPr>
        <w:t>0-11：</w:t>
      </w:r>
      <w:r>
        <w:rPr>
          <w:rFonts w:hint="eastAsia" w:ascii="新宋体" w:hAnsi="新宋体" w:eastAsia="新宋体" w:cs="宋体"/>
          <w:b w:val="0"/>
          <w:bCs w:val="0"/>
          <w:color w:val="000000"/>
          <w:kern w:val="0"/>
          <w:sz w:val="24"/>
          <w:szCs w:val="24"/>
          <w:lang w:val="en-US" w:eastAsia="zh-CN" w:bidi="ar-SA"/>
        </w:rPr>
        <w:t>45</w:t>
      </w:r>
      <w:r>
        <w:rPr>
          <w:rFonts w:hint="default" w:ascii="新宋体" w:hAnsi="新宋体" w:eastAsia="新宋体" w:cs="宋体"/>
          <w:b w:val="0"/>
          <w:bCs w:val="0"/>
          <w:color w:val="000000"/>
          <w:kern w:val="0"/>
          <w:sz w:val="24"/>
          <w:szCs w:val="24"/>
          <w:lang w:val="en-US" w:eastAsia="zh-CN" w:bidi="ar-SA"/>
        </w:rPr>
        <w:t>,下午14：</w:t>
      </w:r>
      <w:r>
        <w:rPr>
          <w:rFonts w:hint="eastAsia" w:ascii="新宋体" w:hAnsi="新宋体" w:eastAsia="新宋体" w:cs="宋体"/>
          <w:b w:val="0"/>
          <w:bCs w:val="0"/>
          <w:color w:val="000000"/>
          <w:kern w:val="0"/>
          <w:sz w:val="24"/>
          <w:szCs w:val="24"/>
          <w:lang w:val="en-US" w:eastAsia="zh-CN" w:bidi="ar-SA"/>
        </w:rPr>
        <w:t>0</w:t>
      </w:r>
      <w:r>
        <w:rPr>
          <w:rFonts w:hint="default" w:ascii="新宋体" w:hAnsi="新宋体" w:eastAsia="新宋体" w:cs="宋体"/>
          <w:b w:val="0"/>
          <w:bCs w:val="0"/>
          <w:color w:val="000000"/>
          <w:kern w:val="0"/>
          <w:sz w:val="24"/>
          <w:szCs w:val="24"/>
          <w:lang w:val="en-US" w:eastAsia="zh-CN" w:bidi="ar-SA"/>
        </w:rPr>
        <w:t>0-17：00,节假日除外）。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八、标书递交截止时间及开标时间： 2021 年 4 月9日上午9：00；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九、招标地点：鄂东医疗集团市妇幼保健院行政楼205会议室;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十、联系方式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560" w:firstLineChars="19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2021年4 月 6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新宋体" w:hAnsi="新宋体" w:eastAsia="新宋体" w:cs="宋体"/>
          <w:b w:val="0"/>
          <w:bCs w:val="0"/>
          <w:color w:val="000000"/>
          <w:kern w:val="0"/>
          <w:sz w:val="24"/>
          <w:szCs w:val="24"/>
          <w:lang w:val="en-US" w:eastAsia="zh-CN" w:bidi="ar-SA"/>
        </w:rPr>
      </w:pPr>
    </w:p>
    <w:p>
      <w:pPr>
        <w:numPr>
          <w:ilvl w:val="0"/>
          <w:numId w:val="0"/>
        </w:numPr>
        <w:jc w:val="center"/>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第二部分  投标须知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1.投标人须持有有效期内的营业执照，具有独立法人资格，且有从事本项目的经营范围。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2.投标文件1正2副，共计3份，并用非透明文件袋密封，在封签处加盖公章，并标明项目名称、供应商单位名称、联系方式。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3.所有响应性文件密封袋的正面须标明以下字样：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1）项目名称：2）供应商名称；3）联系方式并加盖单位公章。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4.招标文件中必须响应招标项目需求。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5.项目技术参数和需求见招标文件。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7. 报价包含日常维修、维护、检查，保养、测试费用，维修所用配件费用及税金和报修期间产生的人工差旅费等所有费用，报价不得高于预算价;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p>
    <w:p>
      <w:pPr>
        <w:numPr>
          <w:ilvl w:val="0"/>
          <w:numId w:val="0"/>
        </w:numPr>
        <w:jc w:val="both"/>
        <w:rPr>
          <w:rFonts w:hint="eastAsia" w:ascii="新宋体" w:hAnsi="新宋体" w:eastAsia="新宋体" w:cs="宋体"/>
          <w:b w:val="0"/>
          <w:bCs w:val="0"/>
          <w:color w:val="000000"/>
          <w:kern w:val="0"/>
          <w:sz w:val="24"/>
          <w:szCs w:val="24"/>
          <w:lang w:val="en-US" w:eastAsia="zh-CN" w:bidi="ar-SA"/>
        </w:rPr>
      </w:pPr>
    </w:p>
    <w:p>
      <w:pPr>
        <w:numPr>
          <w:ilvl w:val="0"/>
          <w:numId w:val="0"/>
        </w:numPr>
        <w:jc w:val="both"/>
        <w:rPr>
          <w:rFonts w:hint="default" w:ascii="新宋体" w:hAnsi="新宋体" w:eastAsia="新宋体" w:cs="宋体"/>
          <w:b w:val="0"/>
          <w:bCs w:val="0"/>
          <w:color w:val="000000"/>
          <w:kern w:val="0"/>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eastAsia="zh-CN"/>
        </w:rPr>
        <w:t>维保</w:t>
      </w:r>
      <w:r>
        <w:rPr>
          <w:rFonts w:hint="eastAsia" w:ascii="宋体" w:hAnsi="宋体" w:eastAsia="宋体" w:cs="宋体"/>
          <w:sz w:val="21"/>
          <w:szCs w:val="21"/>
        </w:rPr>
        <w:t>内容</w:t>
      </w:r>
      <w:r>
        <w:rPr>
          <w:rFonts w:hint="eastAsia" w:ascii="宋体" w:hAnsi="宋体" w:cs="宋体"/>
          <w:sz w:val="21"/>
          <w:szCs w:val="21"/>
          <w:lang w:eastAsia="zh-CN"/>
        </w:rPr>
        <w:t>（含钟楼门诊）</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1、全院火灾自动报警系统</w:t>
      </w:r>
      <w:r>
        <w:rPr>
          <w:rFonts w:hint="eastAsia" w:ascii="宋体" w:hAnsi="宋体" w:cs="宋体"/>
          <w:sz w:val="21"/>
          <w:szCs w:val="21"/>
          <w:lang w:eastAsia="zh-CN"/>
        </w:rPr>
        <w:t>；</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2、室内外消火栓灭火系统；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3、气体灭火系统；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4、消防自动喷淋喷</w:t>
      </w:r>
      <w:r>
        <w:rPr>
          <w:rFonts w:hint="eastAsia" w:ascii="宋体" w:hAnsi="宋体" w:cs="宋体"/>
          <w:sz w:val="21"/>
          <w:szCs w:val="21"/>
          <w:lang w:eastAsia="zh-CN"/>
        </w:rPr>
        <w:t>水灭火</w:t>
      </w:r>
      <w:r>
        <w:rPr>
          <w:rFonts w:hint="eastAsia" w:ascii="宋体" w:hAnsi="宋体" w:eastAsia="宋体" w:cs="宋体"/>
          <w:sz w:val="21"/>
          <w:szCs w:val="21"/>
        </w:rPr>
        <w:t>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5、应急照明及疏散指示系统；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6、防排烟系统；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7、防火卷帘门系统；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8、消防广播消防对讲系统；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9、消防联动系统及所有消防设施设备等（含电梯迫降）；</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10、检测及出具消防设施年度检测报告。</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sz w:val="21"/>
          <w:szCs w:val="21"/>
          <w:lang w:eastAsia="zh-CN"/>
        </w:rPr>
      </w:pPr>
      <w:r>
        <w:rPr>
          <w:rFonts w:hint="eastAsia" w:ascii="宋体" w:hAnsi="宋体" w:eastAsia="宋体" w:cs="宋体"/>
          <w:kern w:val="2"/>
          <w:sz w:val="21"/>
          <w:szCs w:val="21"/>
        </w:rPr>
        <w:t>二</w:t>
      </w:r>
      <w:r>
        <w:rPr>
          <w:rFonts w:hint="eastAsia" w:ascii="宋体" w:hAnsi="宋体" w:eastAsia="宋体" w:cs="宋体"/>
          <w:sz w:val="21"/>
          <w:szCs w:val="21"/>
        </w:rPr>
        <w:t>、</w:t>
      </w:r>
      <w:r>
        <w:rPr>
          <w:rFonts w:hint="eastAsia" w:ascii="宋体" w:hAnsi="宋体" w:cs="宋体"/>
          <w:sz w:val="21"/>
          <w:szCs w:val="21"/>
          <w:lang w:eastAsia="zh-CN"/>
        </w:rPr>
        <w:t>维保要求</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乙方每周派维保人员到</w:t>
      </w:r>
      <w:r>
        <w:rPr>
          <w:rFonts w:hint="eastAsia" w:ascii="宋体" w:hAnsi="宋体" w:eastAsia="宋体" w:cs="宋体"/>
          <w:sz w:val="21"/>
          <w:szCs w:val="21"/>
          <w:lang w:eastAsia="zh-CN"/>
        </w:rPr>
        <w:t>甲方</w:t>
      </w:r>
      <w:r>
        <w:rPr>
          <w:rFonts w:hint="eastAsia" w:ascii="宋体" w:hAnsi="宋体" w:eastAsia="宋体" w:cs="宋体"/>
          <w:sz w:val="21"/>
          <w:szCs w:val="21"/>
        </w:rPr>
        <w:t>消防</w:t>
      </w:r>
      <w:r>
        <w:rPr>
          <w:rFonts w:hint="eastAsia" w:ascii="宋体" w:hAnsi="宋体" w:eastAsia="宋体" w:cs="宋体"/>
          <w:sz w:val="21"/>
          <w:szCs w:val="21"/>
          <w:lang w:eastAsia="zh-CN"/>
        </w:rPr>
        <w:t>监控室</w:t>
      </w:r>
      <w:r>
        <w:rPr>
          <w:rFonts w:hint="eastAsia" w:ascii="宋体" w:hAnsi="宋体" w:eastAsia="宋体" w:cs="宋体"/>
          <w:sz w:val="21"/>
          <w:szCs w:val="21"/>
        </w:rPr>
        <w:t xml:space="preserve">直观检查消防和其他系统运行状态，会同值班人员了解系统运行情况，视各设备情况进行必要的养护，在无报警点、无故障的前提下办理系统运行正常确认手续。 </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乙方每月第一周派维保人员到现场直观检查消防系统运行状态，并检查消防水压、做放水排气试验，会同值班人员了解系统运行情况，视各设备情况进行必要的养护</w:t>
      </w:r>
      <w:r>
        <w:rPr>
          <w:rFonts w:hint="eastAsia" w:ascii="宋体" w:hAnsi="宋体" w:cs="宋体"/>
          <w:sz w:val="21"/>
          <w:szCs w:val="21"/>
          <w:lang w:eastAsia="zh-CN"/>
        </w:rPr>
        <w:t>、紧定、润滑</w:t>
      </w:r>
      <w:r>
        <w:rPr>
          <w:rFonts w:hint="eastAsia" w:ascii="宋体" w:hAnsi="宋体" w:eastAsia="宋体" w:cs="宋体"/>
          <w:sz w:val="21"/>
          <w:szCs w:val="21"/>
        </w:rPr>
        <w:t>，并对系统进行部分抽查试验，其内容如下：</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喷淋系统：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a．各层管网末端排水试验；50％</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b．水泵启动：2台</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自动报警系统：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a．加烟试验报警：抽查3％，抽查点位由甲方确定。</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b．加温试验报警：抽查3％，抽查点位由甲方确定。</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c．手动触发报警：抽查3％，抽查点位由甲方确定。</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防排烟系统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a．报警联动风阀：3％</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b．联动风机：l台</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c．手动启动风机：l台</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消防警铃测试每月1次。</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210" w:leftChars="10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根据消防机关的有关规定，每月要对下列各系统进行逐项检查，如实记录检查结果，发现故障应及时修复，保证消防设施的正常运行并记录故障修复的全过程。其内容如下：</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a．各层管网术端放水排气试验50％</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b．水泵启动：  2台</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消火栓系统：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a．水泵启动：  2台</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b．按10％比例测试报警按钮。</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自动报警系统：烟感清洗(被污染或环境恶劣地方)；</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a．抽查3％烟感探测器，验证其报警性能并检查其安装情况，抽查点位由甲方确定；</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b．抽查3％温感探测器，验证其报警性能并检查其安装情况，抽查点位由甲方确定；</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c．任选两处手动报警按钮，验证其报警性能；</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d．检查报警控制器自检、消音、复位等功能；</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e．主电源、各用电源切换检查：</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f．警铃系统检查</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防排烟系统；</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a．启动风阀10％；  </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b．风机</w:t>
      </w:r>
      <w:r>
        <w:rPr>
          <w:rFonts w:hint="eastAsia" w:ascii="宋体" w:hAnsi="宋体" w:cs="宋体"/>
          <w:sz w:val="21"/>
          <w:szCs w:val="21"/>
          <w:lang w:eastAsia="zh-CN"/>
        </w:rPr>
        <w:t>启动，</w:t>
      </w:r>
      <w:r>
        <w:rPr>
          <w:rFonts w:hint="eastAsia" w:ascii="宋体" w:hAnsi="宋体" w:eastAsia="宋体" w:cs="宋体"/>
          <w:sz w:val="21"/>
          <w:szCs w:val="21"/>
        </w:rPr>
        <w:t>风阀一季度加油一次，保证机件灵活可靠；</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联动系统； </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a．电梯迫降性能检测；</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b．广播系统分层检测；(由甲方确定抽点)</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c．消防对讲电话通话试验；</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d．喷气灭火系统模拟测试检查。</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月度检查原始记录必须由参加维修保养的双方人员签字。月度检查结果和处理意见一式二份，由双方代表签字后各执一份。</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乙方每半年将消防设施维修保养的情况和检查结果，以书面形式向甲方报告，其内容按月度项目进行，另包括：水枪喷水试验；分高、中区各出一支水枪做联动试验。</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a．各维护系统的运转情况；</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b．半年维修保养和检查记录；</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c．各维护系统稳定性和可靠性的分析；</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d．保证各维护设施正常运转的建议：</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乙方应按保养细则做好维修保养记录，每月向甲方提供书面报告。每季由乙方质量部门抽测设备安全参数，并向甲方提供书面报告。</w:t>
      </w:r>
    </w:p>
    <w:p>
      <w:pPr>
        <w:pStyle w:val="12"/>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维修保养期为</w:t>
      </w:r>
      <w:r>
        <w:rPr>
          <w:rFonts w:hint="eastAsia" w:ascii="宋体" w:hAnsi="宋体" w:cs="宋体"/>
          <w:sz w:val="21"/>
          <w:szCs w:val="21"/>
          <w:lang w:eastAsia="zh-CN"/>
        </w:rPr>
        <w:t>二</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年度</w:t>
      </w:r>
      <w:r>
        <w:rPr>
          <w:rFonts w:hint="eastAsia" w:ascii="宋体" w:hAnsi="宋体" w:eastAsia="宋体" w:cs="宋体"/>
          <w:color w:val="auto"/>
          <w:sz w:val="21"/>
          <w:szCs w:val="21"/>
        </w:rPr>
        <w:t>期满在第四季度最后一个月第一周对所保养的设备进行一次全面维修、保养及检测，做出设备检测报告</w:t>
      </w:r>
      <w:r>
        <w:rPr>
          <w:rFonts w:hint="eastAsia" w:ascii="宋体" w:hAnsi="宋体" w:eastAsia="宋体" w:cs="宋体"/>
          <w:sz w:val="21"/>
          <w:szCs w:val="21"/>
        </w:rPr>
        <w:t>，提供全年消防系统运行报告，并经甲方作全面考评会同签字确认。</w:t>
      </w:r>
    </w:p>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0"/>
        <w:tabs>
          <w:tab w:val="left" w:pos="1260"/>
        </w:tabs>
        <w:spacing w:line="360" w:lineRule="auto"/>
        <w:jc w:val="center"/>
        <w:rPr>
          <w:rFonts w:ascii="Times New Roman" w:hAnsi="Times New Roman"/>
          <w:b/>
          <w:bCs/>
          <w:spacing w:val="100"/>
          <w:w w:val="110"/>
          <w:sz w:val="36"/>
          <w:szCs w:val="36"/>
        </w:rPr>
      </w:pPr>
    </w:p>
    <w:p>
      <w:pPr>
        <w:pStyle w:val="10"/>
        <w:tabs>
          <w:tab w:val="left" w:pos="1260"/>
        </w:tabs>
        <w:spacing w:line="360" w:lineRule="auto"/>
        <w:jc w:val="center"/>
        <w:rPr>
          <w:rFonts w:ascii="Times New Roman" w:hAnsi="Times New Roman"/>
          <w:bCs/>
          <w:spacing w:val="100"/>
          <w:w w:val="110"/>
          <w:sz w:val="36"/>
          <w:szCs w:val="36"/>
        </w:rPr>
      </w:pPr>
    </w:p>
    <w:p>
      <w:pPr>
        <w:pStyle w:val="10"/>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0"/>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0"/>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0"/>
        <w:spacing w:line="360" w:lineRule="auto"/>
        <w:jc w:val="center"/>
        <w:rPr>
          <w:rFonts w:ascii="Times New Roman" w:hAnsi="Times New Roman"/>
          <w:sz w:val="44"/>
        </w:rPr>
      </w:pPr>
    </w:p>
    <w:p>
      <w:pPr>
        <w:pStyle w:val="10"/>
        <w:spacing w:line="360" w:lineRule="auto"/>
        <w:jc w:val="center"/>
        <w:rPr>
          <w:rFonts w:ascii="Times New Roman" w:hAnsi="Times New Roman"/>
          <w:sz w:val="44"/>
        </w:rPr>
      </w:pPr>
    </w:p>
    <w:p>
      <w:pPr>
        <w:pStyle w:val="10"/>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0"/>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0"/>
        <w:spacing w:line="360" w:lineRule="auto"/>
        <w:ind w:firstLine="1320" w:firstLineChars="300"/>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0"/>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0"/>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6、提供近三年类似项目开展的业绩（和其它医院签订的合同或者中标通知书）。</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7、投标人需要就未被“信用中国”网站、中国政府采购网列入失信执行人、重大税收违法案件当事人名单、政府采购严重违法失信行为记录名单自行提交声明函。</w:t>
      </w:r>
    </w:p>
    <w:p>
      <w:pPr>
        <w:numPr>
          <w:ilvl w:val="0"/>
          <w:numId w:val="0"/>
        </w:numPr>
        <w:jc w:val="both"/>
        <w:rPr>
          <w:rFonts w:hint="default"/>
          <w:lang w:val="en-US" w:eastAsia="zh-CN"/>
        </w:rPr>
      </w:pPr>
      <w:r>
        <w:rPr>
          <w:rFonts w:hint="eastAsia" w:ascii="宋体" w:hAnsi="宋体" w:eastAsia="宋体" w:cs="宋体"/>
          <w:sz w:val="28"/>
          <w:szCs w:val="28"/>
          <w:lang w:val="en-US" w:eastAsia="zh-CN"/>
        </w:rPr>
        <w:t>8、投标人必须提供可靠的、正常的售后服务。</w:t>
      </w:r>
    </w:p>
    <w:p>
      <w:pPr>
        <w:numPr>
          <w:ilvl w:val="0"/>
          <w:numId w:val="0"/>
        </w:numPr>
        <w:jc w:val="both"/>
        <w:rPr>
          <w:rFonts w:hint="default"/>
          <w:lang w:val="en-US" w:eastAsia="zh-CN"/>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default" w:ascii="宋体" w:hAnsi="宋体" w:eastAsia="宋体" w:cs="宋体"/>
          <w:sz w:val="28"/>
          <w:szCs w:val="28"/>
          <w:u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none"/>
          <w:lang w:val="en-US" w:eastAsia="zh-CN"/>
        </w:rPr>
        <w:t>日</w:t>
      </w:r>
    </w:p>
    <w:p>
      <w:pPr>
        <w:numPr>
          <w:ilvl w:val="0"/>
          <w:numId w:val="0"/>
        </w:numPr>
        <w:jc w:val="both"/>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附件2                                   </w:t>
      </w:r>
      <w:r>
        <w:rPr>
          <w:rFonts w:hint="eastAsia" w:ascii="宋体" w:hAnsi="宋体" w:eastAsia="宋体" w:cs="宋体"/>
          <w:b/>
          <w:bCs/>
          <w:sz w:val="36"/>
          <w:szCs w:val="36"/>
          <w:lang w:val="en-US" w:eastAsia="zh-CN"/>
        </w:rPr>
        <w:t>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11286"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79" w:type="dxa"/>
            <w:vMerge w:val="restart"/>
            <w:vAlign w:val="center"/>
          </w:tcPr>
          <w:p>
            <w:pPr>
              <w:numPr>
                <w:ilvl w:val="0"/>
                <w:numId w:val="0"/>
              </w:numPr>
              <w:ind w:firstLine="560" w:firstLineChars="2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jc w:val="center"/>
              <w:rPr>
                <w:rFonts w:hint="eastAsia"/>
                <w:lang w:val="en-US" w:eastAsia="zh-CN"/>
              </w:rPr>
            </w:pPr>
            <w:r>
              <w:rPr>
                <w:rFonts w:hint="eastAsia" w:ascii="宋体" w:hAnsi="宋体" w:eastAsia="宋体" w:cs="宋体"/>
                <w:sz w:val="21"/>
                <w:szCs w:val="21"/>
                <w:vertAlign w:val="baseline"/>
                <w:lang w:val="en-US" w:eastAsia="zh-CN"/>
              </w:rPr>
              <w:t>（单位：元）</w:t>
            </w:r>
          </w:p>
        </w:tc>
        <w:tc>
          <w:tcPr>
            <w:tcW w:w="11286" w:type="dxa"/>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79" w:type="dxa"/>
            <w:vMerge w:val="continue"/>
            <w:vAlign w:val="center"/>
          </w:tcPr>
          <w:p>
            <w:pPr>
              <w:jc w:val="center"/>
            </w:pPr>
          </w:p>
        </w:tc>
        <w:tc>
          <w:tcPr>
            <w:tcW w:w="11286" w:type="dxa"/>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1286"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11286"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13407"/>
    <w:rsid w:val="04E55230"/>
    <w:rsid w:val="06185BE4"/>
    <w:rsid w:val="093E120B"/>
    <w:rsid w:val="0ACF46E5"/>
    <w:rsid w:val="0B1838BD"/>
    <w:rsid w:val="0B445B40"/>
    <w:rsid w:val="0CC87330"/>
    <w:rsid w:val="0CDA6B68"/>
    <w:rsid w:val="0D2E31D9"/>
    <w:rsid w:val="0E6C3468"/>
    <w:rsid w:val="0E7F42D3"/>
    <w:rsid w:val="0E9C5A9B"/>
    <w:rsid w:val="0EEB218D"/>
    <w:rsid w:val="0F0347D4"/>
    <w:rsid w:val="0FB5692D"/>
    <w:rsid w:val="11810BC9"/>
    <w:rsid w:val="130A7828"/>
    <w:rsid w:val="151158B8"/>
    <w:rsid w:val="16396991"/>
    <w:rsid w:val="16E52424"/>
    <w:rsid w:val="16E73228"/>
    <w:rsid w:val="18756861"/>
    <w:rsid w:val="1A5F48D8"/>
    <w:rsid w:val="1DFC0514"/>
    <w:rsid w:val="1F234DCE"/>
    <w:rsid w:val="2148084F"/>
    <w:rsid w:val="225A4E5E"/>
    <w:rsid w:val="23A2313F"/>
    <w:rsid w:val="23FD1523"/>
    <w:rsid w:val="243A5E05"/>
    <w:rsid w:val="271B17D6"/>
    <w:rsid w:val="281D207A"/>
    <w:rsid w:val="2A5940F2"/>
    <w:rsid w:val="2C5168DB"/>
    <w:rsid w:val="2DEE2AA7"/>
    <w:rsid w:val="2FE11150"/>
    <w:rsid w:val="302F3463"/>
    <w:rsid w:val="320B0A49"/>
    <w:rsid w:val="3349360D"/>
    <w:rsid w:val="337F13C3"/>
    <w:rsid w:val="37224E90"/>
    <w:rsid w:val="38770347"/>
    <w:rsid w:val="3A6625A3"/>
    <w:rsid w:val="3B66576F"/>
    <w:rsid w:val="3BC06E1C"/>
    <w:rsid w:val="3D886408"/>
    <w:rsid w:val="3D952538"/>
    <w:rsid w:val="3E3D4573"/>
    <w:rsid w:val="3F852078"/>
    <w:rsid w:val="41D26019"/>
    <w:rsid w:val="41E9631B"/>
    <w:rsid w:val="41F00329"/>
    <w:rsid w:val="44BC65FF"/>
    <w:rsid w:val="45A162AF"/>
    <w:rsid w:val="46105B93"/>
    <w:rsid w:val="4618755E"/>
    <w:rsid w:val="46FA48DA"/>
    <w:rsid w:val="489D7473"/>
    <w:rsid w:val="492F6B63"/>
    <w:rsid w:val="4B7D7B8E"/>
    <w:rsid w:val="4CC64CCD"/>
    <w:rsid w:val="4E09653A"/>
    <w:rsid w:val="4EE4102F"/>
    <w:rsid w:val="503C5F99"/>
    <w:rsid w:val="50514B91"/>
    <w:rsid w:val="51B10FCD"/>
    <w:rsid w:val="52CA2D37"/>
    <w:rsid w:val="5362628C"/>
    <w:rsid w:val="53CB0E48"/>
    <w:rsid w:val="5667244A"/>
    <w:rsid w:val="5698706D"/>
    <w:rsid w:val="574800AB"/>
    <w:rsid w:val="591A40D5"/>
    <w:rsid w:val="5C5E0CE4"/>
    <w:rsid w:val="5DDC47CB"/>
    <w:rsid w:val="5E1E311E"/>
    <w:rsid w:val="5E9924DF"/>
    <w:rsid w:val="5FAE5AD9"/>
    <w:rsid w:val="5FC4763E"/>
    <w:rsid w:val="63317582"/>
    <w:rsid w:val="649640C6"/>
    <w:rsid w:val="65446649"/>
    <w:rsid w:val="65CE7B29"/>
    <w:rsid w:val="685225F8"/>
    <w:rsid w:val="695036A8"/>
    <w:rsid w:val="6A956237"/>
    <w:rsid w:val="6C722D64"/>
    <w:rsid w:val="6F063C41"/>
    <w:rsid w:val="6F5516C7"/>
    <w:rsid w:val="6FA5209D"/>
    <w:rsid w:val="720B595F"/>
    <w:rsid w:val="725B60B0"/>
    <w:rsid w:val="73181601"/>
    <w:rsid w:val="734B052F"/>
    <w:rsid w:val="73805718"/>
    <w:rsid w:val="741111A1"/>
    <w:rsid w:val="754B3D3E"/>
    <w:rsid w:val="760134D3"/>
    <w:rsid w:val="77E42EE5"/>
    <w:rsid w:val="78BE53FC"/>
    <w:rsid w:val="7A1A46CE"/>
    <w:rsid w:val="7B3D5054"/>
    <w:rsid w:val="7B7E39A1"/>
    <w:rsid w:val="7CC24704"/>
    <w:rsid w:val="7CC663D4"/>
    <w:rsid w:val="7D00326D"/>
    <w:rsid w:val="7FA12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纯文本1"/>
    <w:basedOn w:val="1"/>
    <w:qFormat/>
    <w:uiPriority w:val="0"/>
    <w:rPr>
      <w:rFonts w:ascii="宋体" w:hAnsi="Courier New" w:eastAsia="宋体" w:cs="Times New Roman"/>
      <w:szCs w:val="21"/>
    </w:rPr>
  </w:style>
  <w:style w:type="paragraph" w:styleId="11">
    <w:name w:val="No Spacing"/>
    <w:basedOn w:val="1"/>
    <w:qFormat/>
    <w:uiPriority w:val="99"/>
    <w:pPr>
      <w:widowControl/>
      <w:jc w:val="left"/>
    </w:pPr>
    <w:rPr>
      <w:rFonts w:ascii="Cambria" w:hAnsi="Cambria"/>
      <w:kern w:val="0"/>
      <w:sz w:val="22"/>
      <w:szCs w:val="22"/>
    </w:rPr>
  </w:style>
  <w:style w:type="paragraph" w:customStyle="1" w:styleId="12">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2020-06-29T09:27:00Z</cp:lastPrinted>
  <dcterms:modified xsi:type="dcterms:W3CDTF">2021-04-06T03:27:11Z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